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741" w:rsidRPr="0064796B" w:rsidRDefault="00A57741" w:rsidP="004A09AF">
      <w:pPr>
        <w:pStyle w:val="Nadpis1"/>
        <w:jc w:val="center"/>
        <w:rPr>
          <w:rStyle w:val="Nadpis2Char"/>
          <w:b/>
        </w:rPr>
      </w:pPr>
      <w:r w:rsidRPr="004A09AF">
        <w:t>Akční plán pro tematickou předběžnou podmínku v gesci MŽP</w:t>
      </w:r>
      <w:r w:rsidRPr="004A09AF">
        <w:br/>
        <w:t>„</w:t>
      </w:r>
      <w:r w:rsidR="00D72E22" w:rsidRPr="008E50D4">
        <w:rPr>
          <w:rStyle w:val="Nadpis2Char"/>
          <w:b/>
          <w:u w:val="none"/>
        </w:rPr>
        <w:t>E</w:t>
      </w:r>
      <w:r w:rsidR="00CE3BC7" w:rsidRPr="008E50D4">
        <w:rPr>
          <w:rStyle w:val="Nadpis2Char"/>
          <w:b/>
          <w:u w:val="none"/>
        </w:rPr>
        <w:t>xistence a) politiky stanovování poplatků za vodu, která vhodným způsobem podněcuje uživatele k účinnému využívání vodních zdrojů, a b) odpovídajícího podílu různých způsobů využívání vody na úhradě nákladů na vodohospodářské služby v sazbě stanovené ve schváleném plánu povodí pro investice p</w:t>
      </w:r>
      <w:r w:rsidR="00DD74D6" w:rsidRPr="008E50D4">
        <w:rPr>
          <w:rStyle w:val="Nadpis2Char"/>
          <w:b/>
          <w:u w:val="none"/>
        </w:rPr>
        <w:t>odporované příslušnými programy</w:t>
      </w:r>
      <w:r w:rsidRPr="008E50D4">
        <w:rPr>
          <w:rStyle w:val="Nadpis2Char"/>
          <w:b/>
          <w:u w:val="none"/>
        </w:rPr>
        <w:t>“</w:t>
      </w:r>
    </w:p>
    <w:p w:rsidR="00D8521B" w:rsidRDefault="00D8521B" w:rsidP="00D8521B"/>
    <w:p w:rsidR="00D8521B" w:rsidRDefault="00D8521B" w:rsidP="00D8521B">
      <w:pPr>
        <w:pStyle w:val="Nadpis2"/>
        <w:numPr>
          <w:ilvl w:val="0"/>
          <w:numId w:val="1"/>
        </w:numPr>
      </w:pPr>
      <w:r>
        <w:t>Úvod</w:t>
      </w:r>
    </w:p>
    <w:p w:rsidR="00D8521B" w:rsidRPr="004A09AF" w:rsidRDefault="001C21E0" w:rsidP="001C21E0">
      <w:pPr>
        <w:jc w:val="both"/>
        <w:rPr>
          <w:rFonts w:ascii="Cambria" w:hAnsi="Cambria"/>
        </w:rPr>
      </w:pPr>
      <w:r w:rsidRPr="004A09AF">
        <w:rPr>
          <w:rFonts w:ascii="Cambria" w:hAnsi="Cambria"/>
        </w:rPr>
        <w:t>Jedná se o předběžnou podmínku</w:t>
      </w:r>
      <w:r w:rsidR="001F2A94" w:rsidRPr="004A09AF">
        <w:rPr>
          <w:rFonts w:ascii="Cambria" w:hAnsi="Cambria"/>
        </w:rPr>
        <w:t xml:space="preserve"> </w:t>
      </w:r>
      <w:r w:rsidRPr="004A09AF">
        <w:rPr>
          <w:rFonts w:ascii="Cambria" w:hAnsi="Cambria"/>
        </w:rPr>
        <w:t>6.1 „</w:t>
      </w:r>
      <w:r w:rsidR="00D72E22" w:rsidRPr="004A09AF">
        <w:rPr>
          <w:rFonts w:ascii="Cambria" w:hAnsi="Cambria" w:cstheme="minorHAnsi"/>
          <w:bCs/>
        </w:rPr>
        <w:t>Vodní hospodářství: E</w:t>
      </w:r>
      <w:r w:rsidRPr="004A09AF">
        <w:rPr>
          <w:rFonts w:ascii="Cambria" w:hAnsi="Cambria" w:cstheme="minorHAnsi"/>
          <w:bCs/>
        </w:rPr>
        <w:t>xistence a) politiky stanovování poplatků za vodu, která vhodným způsobem podněcuje uživatele k účinnému využívání vodních zdrojů, a b) odpovídajícího podílu různých způsobů využívání vody na úhradě nákladů na vodohospodářské služby v sazbě stanovené ve schváleném plánu povodí pro investice podporované příslušnými programy“</w:t>
      </w:r>
      <w:r w:rsidR="001F2A94" w:rsidRPr="004A09AF">
        <w:rPr>
          <w:rFonts w:ascii="Cambria" w:hAnsi="Cambria" w:cstheme="minorHAnsi"/>
          <w:bCs/>
        </w:rPr>
        <w:t xml:space="preserve"> </w:t>
      </w:r>
      <w:r w:rsidR="001F2A94" w:rsidRPr="004A09AF">
        <w:rPr>
          <w:rFonts w:ascii="Cambria" w:hAnsi="Cambria"/>
        </w:rPr>
        <w:t>pod tematickým cílem 6 „Ochrana životního prostředí a podpora účinného využívání zdrojů“</w:t>
      </w:r>
    </w:p>
    <w:p w:rsidR="00D8521B" w:rsidRPr="00C161F1" w:rsidRDefault="00D8521B" w:rsidP="00D8521B">
      <w:pPr>
        <w:pStyle w:val="Nadpis2"/>
        <w:numPr>
          <w:ilvl w:val="0"/>
          <w:numId w:val="1"/>
        </w:numPr>
        <w:rPr>
          <w:u w:color="000000"/>
        </w:rPr>
      </w:pPr>
      <w:r w:rsidRPr="00C161F1">
        <w:rPr>
          <w:u w:color="000000"/>
        </w:rPr>
        <w:t>Metodické dokumenty Komise –</w:t>
      </w:r>
      <w:r>
        <w:rPr>
          <w:u w:color="000000"/>
        </w:rPr>
        <w:t xml:space="preserve"> </w:t>
      </w:r>
      <w:r w:rsidRPr="00C161F1">
        <w:rPr>
          <w:u w:color="000000"/>
        </w:rPr>
        <w:t>guidances</w:t>
      </w:r>
    </w:p>
    <w:p w:rsidR="00547CB5" w:rsidRPr="00F2183C" w:rsidRDefault="00D8521B" w:rsidP="00D8521B">
      <w:pPr>
        <w:pStyle w:val="Styl2"/>
        <w:rPr>
          <w:rFonts w:ascii="Cambria" w:hAnsi="Cambria"/>
          <w:sz w:val="22"/>
          <w:u w:color="000000"/>
        </w:rPr>
        <w:sectPr w:rsidR="00547CB5" w:rsidRPr="00F2183C" w:rsidSect="00BF71D7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A09AF">
        <w:rPr>
          <w:rFonts w:ascii="Cambria" w:hAnsi="Cambria"/>
          <w:sz w:val="22"/>
          <w:u w:color="000000"/>
        </w:rPr>
        <w:t xml:space="preserve">Metodickým dokumentem Komise pro EFRR, ESF a FS je </w:t>
      </w:r>
      <w:r w:rsidRPr="004A09AF">
        <w:rPr>
          <w:rFonts w:ascii="Cambria" w:hAnsi="Cambria"/>
          <w:b/>
          <w:sz w:val="22"/>
          <w:u w:color="000000"/>
        </w:rPr>
        <w:t>„Draft Guidance on ex ante Conditionalities“</w:t>
      </w:r>
      <w:r w:rsidRPr="004A09AF">
        <w:rPr>
          <w:rFonts w:ascii="Cambria" w:hAnsi="Cambria"/>
          <w:sz w:val="22"/>
          <w:u w:color="000000"/>
        </w:rPr>
        <w:t xml:space="preserve"> (part I. a part II včetně tzv. „hodnotících tabulek). Guidance představuje další prostředek k upřesnění výkladu a způsobu plnění předběžných podmínek. </w:t>
      </w:r>
      <w:r w:rsidR="00034267" w:rsidRPr="004A09AF">
        <w:rPr>
          <w:rFonts w:ascii="Cambria" w:hAnsi="Cambria"/>
          <w:sz w:val="22"/>
          <w:u w:color="000000"/>
        </w:rPr>
        <w:t>M</w:t>
      </w:r>
      <w:r w:rsidRPr="004A09AF">
        <w:rPr>
          <w:rFonts w:ascii="Cambria" w:hAnsi="Cambria"/>
          <w:sz w:val="22"/>
          <w:u w:color="000000"/>
        </w:rPr>
        <w:t>ateriál blíže specifikuje posuzování předběžných pod</w:t>
      </w:r>
      <w:r w:rsidR="00034267" w:rsidRPr="004A09AF">
        <w:rPr>
          <w:rFonts w:ascii="Cambria" w:hAnsi="Cambria"/>
          <w:sz w:val="22"/>
          <w:u w:color="000000"/>
        </w:rPr>
        <w:t>mínek ze strany Evropské komise</w:t>
      </w:r>
      <w:r w:rsidRPr="004A09AF">
        <w:rPr>
          <w:rFonts w:ascii="Cambria" w:hAnsi="Cambria"/>
          <w:sz w:val="22"/>
          <w:u w:color="000000"/>
        </w:rPr>
        <w:t xml:space="preserve">. </w:t>
      </w:r>
    </w:p>
    <w:p w:rsidR="00CD3262" w:rsidRPr="001C21E0" w:rsidRDefault="00CD3262" w:rsidP="00D8521B">
      <w:pPr>
        <w:pStyle w:val="Styl2"/>
        <w:rPr>
          <w:rFonts w:asciiTheme="minorHAnsi" w:hAnsiTheme="minorHAnsi"/>
          <w:sz w:val="22"/>
          <w:u w:color="000000"/>
        </w:rPr>
      </w:pPr>
    </w:p>
    <w:p w:rsidR="00D8521B" w:rsidRPr="001F07A6" w:rsidRDefault="00D8521B" w:rsidP="00D8521B">
      <w:pPr>
        <w:pStyle w:val="Nadpis2"/>
        <w:numPr>
          <w:ilvl w:val="0"/>
          <w:numId w:val="1"/>
        </w:numPr>
        <w:rPr>
          <w:u w:color="000000"/>
        </w:rPr>
      </w:pPr>
      <w:r>
        <w:rPr>
          <w:u w:color="000000"/>
        </w:rPr>
        <w:t>Šablony EK k</w:t>
      </w:r>
      <w:r w:rsidR="00CD3262">
        <w:rPr>
          <w:u w:color="000000"/>
        </w:rPr>
        <w:t> </w:t>
      </w:r>
      <w:r>
        <w:rPr>
          <w:u w:color="000000"/>
        </w:rPr>
        <w:t>PP</w:t>
      </w:r>
    </w:p>
    <w:tbl>
      <w:tblPr>
        <w:tblStyle w:val="Mkatabulky"/>
        <w:tblW w:w="15310" w:type="dxa"/>
        <w:tblInd w:w="-60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863"/>
        <w:gridCol w:w="1156"/>
        <w:gridCol w:w="1201"/>
        <w:gridCol w:w="1740"/>
        <w:gridCol w:w="975"/>
        <w:gridCol w:w="5681"/>
        <w:gridCol w:w="2694"/>
      </w:tblGrid>
      <w:tr w:rsidR="00846CFD" w:rsidRPr="00846CFD" w:rsidTr="0059378E">
        <w:trPr>
          <w:trHeight w:val="431"/>
        </w:trPr>
        <w:tc>
          <w:tcPr>
            <w:tcW w:w="1863" w:type="dxa"/>
            <w:shd w:val="clear" w:color="auto" w:fill="C2D69B" w:themeFill="accent3" w:themeFillTint="99"/>
            <w:vAlign w:val="center"/>
          </w:tcPr>
          <w:p w:rsidR="00D8521B" w:rsidRPr="004A09AF" w:rsidRDefault="00D8521B" w:rsidP="00E269CC">
            <w:pPr>
              <w:pStyle w:val="Default"/>
              <w:jc w:val="center"/>
              <w:rPr>
                <w:rFonts w:ascii="Cambria" w:hAnsi="Cambria" w:cstheme="minorHAnsi"/>
                <w:color w:val="auto"/>
                <w:sz w:val="20"/>
                <w:szCs w:val="20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>Použitelná předběžná podmínka na národní úrovni</w:t>
            </w:r>
          </w:p>
        </w:tc>
        <w:tc>
          <w:tcPr>
            <w:tcW w:w="1156" w:type="dxa"/>
            <w:shd w:val="clear" w:color="auto" w:fill="C2D69B" w:themeFill="accent3" w:themeFillTint="99"/>
            <w:vAlign w:val="center"/>
          </w:tcPr>
          <w:p w:rsidR="00D8521B" w:rsidRPr="004A09AF" w:rsidRDefault="00D8521B" w:rsidP="00E269CC">
            <w:pPr>
              <w:pStyle w:val="Default"/>
              <w:jc w:val="center"/>
              <w:rPr>
                <w:rFonts w:ascii="Cambria" w:hAnsi="Cambria" w:cstheme="minorHAnsi"/>
                <w:color w:val="auto"/>
                <w:sz w:val="20"/>
                <w:szCs w:val="20"/>
                <w:highlight w:val="yellow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>Prioritní osa nebo osy, ke kterým se podmínka vztahuje</w:t>
            </w:r>
          </w:p>
        </w:tc>
        <w:tc>
          <w:tcPr>
            <w:tcW w:w="1201" w:type="dxa"/>
            <w:shd w:val="clear" w:color="auto" w:fill="C2D69B" w:themeFill="accent3" w:themeFillTint="99"/>
            <w:vAlign w:val="center"/>
          </w:tcPr>
          <w:p w:rsidR="00D8521B" w:rsidRPr="004A09AF" w:rsidRDefault="00D8521B" w:rsidP="00E269CC">
            <w:pPr>
              <w:pStyle w:val="Default"/>
              <w:jc w:val="center"/>
              <w:rPr>
                <w:rFonts w:ascii="Cambria" w:hAnsi="Cambria" w:cstheme="minorHAnsi"/>
                <w:color w:val="auto"/>
                <w:sz w:val="20"/>
                <w:szCs w:val="20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>Splnění předběžné podmínky (ano/ne)</w:t>
            </w:r>
          </w:p>
        </w:tc>
        <w:tc>
          <w:tcPr>
            <w:tcW w:w="1740" w:type="dxa"/>
            <w:shd w:val="clear" w:color="auto" w:fill="C2D69B" w:themeFill="accent3" w:themeFillTint="99"/>
            <w:vAlign w:val="center"/>
          </w:tcPr>
          <w:p w:rsidR="00D8521B" w:rsidRPr="004A09AF" w:rsidRDefault="00D8521B" w:rsidP="00E269CC">
            <w:pPr>
              <w:pStyle w:val="Default"/>
              <w:jc w:val="center"/>
              <w:rPr>
                <w:rFonts w:ascii="Cambria" w:hAnsi="Cambria" w:cstheme="minorHAnsi"/>
                <w:color w:val="auto"/>
                <w:sz w:val="20"/>
                <w:szCs w:val="20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>Kritéria splnění</w:t>
            </w:r>
          </w:p>
        </w:tc>
        <w:tc>
          <w:tcPr>
            <w:tcW w:w="975" w:type="dxa"/>
            <w:shd w:val="clear" w:color="auto" w:fill="C2D69B" w:themeFill="accent3" w:themeFillTint="99"/>
            <w:vAlign w:val="center"/>
          </w:tcPr>
          <w:p w:rsidR="00D8521B" w:rsidRPr="004A09AF" w:rsidRDefault="00D8521B" w:rsidP="00E269CC">
            <w:pPr>
              <w:pStyle w:val="DAVA"/>
              <w:spacing w:before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Splnění kritéria (ano / ne)</w:t>
            </w:r>
          </w:p>
        </w:tc>
        <w:tc>
          <w:tcPr>
            <w:tcW w:w="5681" w:type="dxa"/>
            <w:shd w:val="clear" w:color="auto" w:fill="C2D69B" w:themeFill="accent3" w:themeFillTint="99"/>
            <w:vAlign w:val="center"/>
          </w:tcPr>
          <w:p w:rsidR="00D8521B" w:rsidRPr="004A09AF" w:rsidRDefault="00D8521B" w:rsidP="00E269CC">
            <w:pPr>
              <w:pStyle w:val="Default"/>
              <w:jc w:val="center"/>
              <w:rPr>
                <w:rFonts w:ascii="Cambria" w:hAnsi="Cambria" w:cstheme="minorHAnsi"/>
                <w:color w:val="auto"/>
                <w:sz w:val="20"/>
                <w:szCs w:val="20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Odkazy (u splněných </w:t>
            </w:r>
            <w:r w:rsidR="00E269CC"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>kritérií</w:t>
            </w:r>
            <w:r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) </w:t>
            </w:r>
            <w:r w:rsidRPr="004A09AF">
              <w:rPr>
                <w:rStyle w:val="Znakapoznpodarou"/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:rsidR="00D8521B" w:rsidRPr="004A09AF" w:rsidRDefault="00D8521B" w:rsidP="00E269CC">
            <w:pPr>
              <w:pStyle w:val="Default"/>
              <w:jc w:val="center"/>
              <w:rPr>
                <w:rFonts w:ascii="Cambria" w:hAnsi="Cambria" w:cstheme="minorHAnsi"/>
                <w:color w:val="auto"/>
                <w:sz w:val="20"/>
                <w:szCs w:val="20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color w:val="auto"/>
                <w:sz w:val="20"/>
                <w:szCs w:val="20"/>
                <w:lang w:eastAsia="en-US"/>
              </w:rPr>
              <w:t>Vysvětlení (tam, kde je to vhodné)</w:t>
            </w:r>
          </w:p>
        </w:tc>
      </w:tr>
      <w:tr w:rsidR="00846CFD" w:rsidRPr="00846CFD" w:rsidTr="0059378E">
        <w:trPr>
          <w:trHeight w:val="346"/>
        </w:trPr>
        <w:tc>
          <w:tcPr>
            <w:tcW w:w="1863" w:type="dxa"/>
            <w:vMerge w:val="restart"/>
            <w:shd w:val="clear" w:color="auto" w:fill="EAF1DD" w:themeFill="accent3" w:themeFillTint="33"/>
          </w:tcPr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6.1. Vodní hospodářství: existence a) politiky stanov</w:t>
            </w:r>
            <w:r w:rsidR="00317452"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ení</w:t>
            </w: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 poplatků za vodu, která vhodným způsobem podněcuje uživatele k účinnému využívání vodních zdrojů, a b) odpovídajícího podílu různých způsobů využívání vody </w:t>
            </w:r>
            <w:r w:rsidR="00317452"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k</w:t>
            </w: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 úhradě nákladů na vodohospodářské služby v sazbě stanovené ve schváleném plánu povodí pro investice </w:t>
            </w: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podporované příslušnými programy.</w:t>
            </w:r>
          </w:p>
        </w:tc>
        <w:tc>
          <w:tcPr>
            <w:tcW w:w="1156" w:type="dxa"/>
            <w:shd w:val="clear" w:color="auto" w:fill="EAF1DD" w:themeFill="accent3" w:themeFillTint="33"/>
          </w:tcPr>
          <w:p w:rsidR="00511639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lastRenderedPageBreak/>
              <w:t>Prioritní osa 1: Zlepšování  kvality vody a snižování rizika povodní</w:t>
            </w:r>
          </w:p>
          <w:p w:rsidR="00EF63E1" w:rsidRDefault="00EF63E1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  <w:p w:rsidR="00EF63E1" w:rsidRPr="004A09AF" w:rsidRDefault="00EF63E1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Prioritní osa 3: Odpady a materiálové toky, ekologické zátěže a rizika</w:t>
            </w:r>
          </w:p>
        </w:tc>
        <w:tc>
          <w:tcPr>
            <w:tcW w:w="1201" w:type="dxa"/>
            <w:shd w:val="clear" w:color="auto" w:fill="EAF1DD" w:themeFill="accent3" w:themeFillTint="33"/>
          </w:tcPr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Částečně</w:t>
            </w:r>
          </w:p>
        </w:tc>
        <w:tc>
          <w:tcPr>
            <w:tcW w:w="1740" w:type="dxa"/>
            <w:shd w:val="clear" w:color="auto" w:fill="EAF1DD" w:themeFill="accent3" w:themeFillTint="33"/>
          </w:tcPr>
          <w:p w:rsidR="00371274" w:rsidRPr="004A09AF" w:rsidRDefault="00371274" w:rsidP="00371274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V odvětvích podporovaných z prostředků EZFRV, EFRR a Fondu soudržnosti členský stát zajistil, aby se na úhradě nákladů na vodohospodářské služby podílely různé způsoby využívání vody v členění podle odvětví, v souladu s čl. 9 odst. 1 první odrážkou směrnice 2000/60/ES, případně s ohledem na sociální dopad, dopad na životní </w:t>
            </w:r>
            <w:r w:rsidRPr="004A09AF">
              <w:rPr>
                <w:rFonts w:ascii="Cambria" w:hAnsi="Cambria"/>
                <w:sz w:val="20"/>
                <w:szCs w:val="20"/>
              </w:rPr>
              <w:lastRenderedPageBreak/>
              <w:t xml:space="preserve">prostředí a hospodářský dopad takové úhrady, jakož i zeměpisné a klimatické podmínky dotčeného regionu či regionů. </w:t>
            </w:r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Cs/>
              </w:rPr>
            </w:pPr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975" w:type="dxa"/>
            <w:shd w:val="clear" w:color="auto" w:fill="EAF1DD" w:themeFill="accent3" w:themeFillTint="33"/>
          </w:tcPr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lastRenderedPageBreak/>
              <w:t>Částečně</w:t>
            </w:r>
          </w:p>
        </w:tc>
        <w:tc>
          <w:tcPr>
            <w:tcW w:w="5681" w:type="dxa"/>
            <w:shd w:val="clear" w:color="auto" w:fill="EAF1DD" w:themeFill="accent3" w:themeFillTint="33"/>
          </w:tcPr>
          <w:p w:rsidR="00511639" w:rsidRPr="004A09AF" w:rsidRDefault="00511639" w:rsidP="006F6CF0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Zásada byla implementována v rámci novely vodního zákona (zákon č. 254/2001 Sb.). Rámcová směrnice pro vodní politiku byla plně transponovaná novelou č. 150/2010 Sb. zákona č. 254/2001 Sb. o vodách a o změně některých zákonů (vodní zákon) přijatou v roce 2010 a souvisejícími prováděcími předpisy, které byly přijaty v průběhu roku 2011. Také povodňová směrnice již byla plně transponována. Návratnost nákladů na VH služby je zajištěna při kalkulaci bez dotací (z EU a státních zdrojů). </w:t>
            </w:r>
          </w:p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  <w:p w:rsidR="00EF63E1" w:rsidRPr="000149B2" w:rsidRDefault="009F319C" w:rsidP="004D38AB">
            <w:pPr>
              <w:pStyle w:val="DAVA"/>
              <w:spacing w:before="0"/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P</w:t>
            </w:r>
            <w:r w:rsidR="00110F5C" w:rsidRPr="004D38AB">
              <w:rPr>
                <w:rFonts w:ascii="Cambria" w:hAnsi="Cambria" w:cstheme="minorHAnsi"/>
                <w:sz w:val="20"/>
                <w:szCs w:val="20"/>
              </w:rPr>
              <w:t xml:space="preserve">římou </w:t>
            </w:r>
            <w:r w:rsidR="00EF63E1" w:rsidRPr="004D38AB">
              <w:rPr>
                <w:rFonts w:ascii="Cambria" w:hAnsi="Cambria" w:cstheme="minorHAnsi"/>
                <w:sz w:val="20"/>
                <w:szCs w:val="20"/>
              </w:rPr>
              <w:t xml:space="preserve">vazbu na předmět podpory </w:t>
            </w:r>
            <w:r w:rsidR="00062FA4">
              <w:rPr>
                <w:rFonts w:ascii="Cambria" w:hAnsi="Cambria" w:cstheme="minorHAnsi"/>
                <w:sz w:val="20"/>
                <w:szCs w:val="20"/>
              </w:rPr>
              <w:t>pro ob</w:t>
            </w:r>
            <w:r w:rsidR="00233D31">
              <w:rPr>
                <w:rFonts w:ascii="Cambria" w:hAnsi="Cambria" w:cstheme="minorHAnsi"/>
                <w:sz w:val="20"/>
                <w:szCs w:val="20"/>
              </w:rPr>
              <w:t>last pitné vody a odpadních vody</w:t>
            </w:r>
            <w:r w:rsidR="00EF63E1" w:rsidRPr="004D38AB">
              <w:rPr>
                <w:rFonts w:ascii="Cambria" w:hAnsi="Cambria" w:cstheme="minorHAnsi"/>
                <w:sz w:val="20"/>
                <w:szCs w:val="20"/>
              </w:rPr>
              <w:t xml:space="preserve"> OP Životní prostředí 2014-2020 spolufinancovan</w:t>
            </w:r>
            <w:r w:rsidR="00062FA4">
              <w:rPr>
                <w:rFonts w:ascii="Cambria" w:hAnsi="Cambria" w:cstheme="minorHAnsi"/>
                <w:sz w:val="20"/>
                <w:szCs w:val="20"/>
              </w:rPr>
              <w:t xml:space="preserve">ého </w:t>
            </w:r>
            <w:r w:rsidR="00EF63E1" w:rsidRPr="004D38AB">
              <w:rPr>
                <w:rFonts w:ascii="Cambria" w:hAnsi="Cambria" w:cstheme="minorHAnsi"/>
                <w:sz w:val="20"/>
                <w:szCs w:val="20"/>
              </w:rPr>
              <w:t xml:space="preserve">z Fondu soudržnosti a z Evropského </w:t>
            </w:r>
            <w:r w:rsidR="008339BA" w:rsidRPr="004D38AB">
              <w:rPr>
                <w:rFonts w:ascii="Cambria" w:hAnsi="Cambria" w:cstheme="minorHAnsi"/>
                <w:sz w:val="20"/>
                <w:szCs w:val="20"/>
              </w:rPr>
              <w:t>fondu pro regionální rozvoj</w:t>
            </w:r>
            <w:r w:rsidR="00062FA4">
              <w:rPr>
                <w:rFonts w:ascii="Cambria" w:hAnsi="Cambria" w:cstheme="minorHAnsi"/>
                <w:sz w:val="20"/>
                <w:szCs w:val="20"/>
              </w:rPr>
              <w:t xml:space="preserve"> identifikovalo Ministerstvo životního prostředí ve smyslu čl. 9 odst. 1 Rámcové směrnice o vodách pouze pro sektor domácností</w:t>
            </w:r>
            <w:r w:rsidR="00EF63E1" w:rsidRPr="004D38AB">
              <w:rPr>
                <w:rFonts w:ascii="Cambria" w:hAnsi="Cambria" w:cstheme="minorHAnsi"/>
                <w:sz w:val="20"/>
                <w:szCs w:val="20"/>
              </w:rPr>
              <w:t xml:space="preserve">. Sektor domácností tak </w:t>
            </w:r>
            <w:r w:rsidR="00110F5C" w:rsidRPr="004D38AB">
              <w:rPr>
                <w:rFonts w:ascii="Cambria" w:hAnsi="Cambria" w:cstheme="minorHAnsi"/>
                <w:sz w:val="20"/>
                <w:szCs w:val="20"/>
              </w:rPr>
              <w:t xml:space="preserve">bude přispívat poplatky na pokrytí nákladů za využívané vodohospodářské služby, které jsou </w:t>
            </w:r>
            <w:r w:rsidR="008339BA" w:rsidRPr="004D38AB">
              <w:rPr>
                <w:rFonts w:ascii="Cambria" w:hAnsi="Cambria" w:cstheme="minorHAnsi"/>
                <w:sz w:val="20"/>
                <w:szCs w:val="20"/>
              </w:rPr>
              <w:t xml:space="preserve">v rámci tarifové politiky </w:t>
            </w:r>
            <w:r w:rsidR="00110F5C" w:rsidRPr="004D38AB">
              <w:rPr>
                <w:rFonts w:ascii="Cambria" w:hAnsi="Cambria" w:cstheme="minorHAnsi"/>
                <w:sz w:val="20"/>
                <w:szCs w:val="20"/>
              </w:rPr>
              <w:t>vnímány přiměřené pro Českou republiku.</w:t>
            </w:r>
            <w:r w:rsidR="00110F5C">
              <w:rPr>
                <w:rFonts w:ascii="Cambria" w:hAnsi="Cambria" w:cstheme="minorHAnsi"/>
              </w:rPr>
              <w:t xml:space="preserve"> </w:t>
            </w:r>
          </w:p>
          <w:p w:rsidR="003A6DDC" w:rsidRDefault="003A6DDC" w:rsidP="00A5246C">
            <w:pPr>
              <w:spacing w:line="276" w:lineRule="auto"/>
              <w:rPr>
                <w:rFonts w:ascii="Cambria" w:hAnsi="Cambria" w:cstheme="minorHAnsi"/>
              </w:rPr>
            </w:pPr>
          </w:p>
          <w:p w:rsidR="003A6DDC" w:rsidRDefault="003A6DDC" w:rsidP="00A5246C">
            <w:pPr>
              <w:spacing w:line="276" w:lineRule="auto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V rámci sektoru domácností se tarifová politika vztahuje i na průmyslové</w:t>
            </w:r>
            <w:r w:rsidR="008339BA">
              <w:rPr>
                <w:rFonts w:ascii="Cambria" w:hAnsi="Cambria" w:cstheme="minorHAnsi"/>
              </w:rPr>
              <w:t xml:space="preserve"> </w:t>
            </w:r>
            <w:r w:rsidR="00AB5B5D">
              <w:rPr>
                <w:rFonts w:ascii="Cambria" w:hAnsi="Cambria" w:cstheme="minorHAnsi"/>
              </w:rPr>
              <w:t>čistírny</w:t>
            </w:r>
            <w:r w:rsidR="008339BA">
              <w:rPr>
                <w:rFonts w:ascii="Cambria" w:hAnsi="Cambria" w:cstheme="minorHAnsi"/>
              </w:rPr>
              <w:t xml:space="preserve"> odpadních vod podporované v OP ŽP</w:t>
            </w:r>
            <w:r w:rsidR="00C17C65">
              <w:rPr>
                <w:rFonts w:ascii="Cambria" w:hAnsi="Cambria" w:cstheme="minorHAnsi"/>
              </w:rPr>
              <w:t xml:space="preserve"> 2014-2020</w:t>
            </w:r>
            <w:r w:rsidR="008339BA">
              <w:rPr>
                <w:rFonts w:ascii="Cambria" w:hAnsi="Cambria" w:cstheme="minorHAnsi"/>
              </w:rPr>
              <w:t>, a to v oblasti vypoušt</w:t>
            </w:r>
            <w:r w:rsidR="00AB5B5D">
              <w:rPr>
                <w:rFonts w:ascii="Cambria" w:hAnsi="Cambria" w:cstheme="minorHAnsi"/>
              </w:rPr>
              <w:t>ě</w:t>
            </w:r>
            <w:r w:rsidR="008339BA">
              <w:rPr>
                <w:rFonts w:ascii="Cambria" w:hAnsi="Cambria" w:cstheme="minorHAnsi"/>
              </w:rPr>
              <w:t xml:space="preserve">ní </w:t>
            </w:r>
            <w:r w:rsidR="007746CA">
              <w:rPr>
                <w:rFonts w:ascii="Cambria" w:hAnsi="Cambria" w:cstheme="minorHAnsi"/>
              </w:rPr>
              <w:t xml:space="preserve">odpadních </w:t>
            </w:r>
            <w:r w:rsidR="008339BA">
              <w:rPr>
                <w:rFonts w:ascii="Cambria" w:hAnsi="Cambria" w:cstheme="minorHAnsi"/>
              </w:rPr>
              <w:t>vod (nikoli za odběr vody)</w:t>
            </w:r>
            <w:r>
              <w:rPr>
                <w:rFonts w:ascii="Cambria" w:hAnsi="Cambria" w:cstheme="minorHAnsi"/>
              </w:rPr>
              <w:t>.</w:t>
            </w:r>
            <w:r w:rsidR="008339BA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 xml:space="preserve">V těchto případech podniky, které vypouštějí </w:t>
            </w:r>
            <w:r w:rsidR="007746CA">
              <w:rPr>
                <w:rFonts w:ascii="Cambria" w:hAnsi="Cambria" w:cstheme="minorHAnsi"/>
              </w:rPr>
              <w:t xml:space="preserve">odpadní </w:t>
            </w:r>
            <w:r w:rsidR="007746CA">
              <w:rPr>
                <w:rFonts w:ascii="Cambria" w:hAnsi="Cambria" w:cstheme="minorHAnsi"/>
              </w:rPr>
              <w:lastRenderedPageBreak/>
              <w:t xml:space="preserve">vody </w:t>
            </w:r>
            <w:r w:rsidR="00AB5B5D">
              <w:rPr>
                <w:rFonts w:ascii="Cambria" w:hAnsi="Cambria" w:cstheme="minorHAnsi"/>
              </w:rPr>
              <w:t xml:space="preserve">do kanalizace pro veřejnou potřebu nebo </w:t>
            </w:r>
            <w:r w:rsidR="007746CA">
              <w:rPr>
                <w:rFonts w:ascii="Cambria" w:hAnsi="Cambria" w:cstheme="minorHAnsi"/>
              </w:rPr>
              <w:t>prostřednictví</w:t>
            </w:r>
            <w:r w:rsidR="00AB5B5D">
              <w:rPr>
                <w:rFonts w:ascii="Cambria" w:hAnsi="Cambria" w:cstheme="minorHAnsi"/>
              </w:rPr>
              <w:t>m</w:t>
            </w:r>
            <w:r w:rsidR="007746CA">
              <w:rPr>
                <w:rFonts w:ascii="Cambria" w:hAnsi="Cambria" w:cstheme="minorHAnsi"/>
              </w:rPr>
              <w:t xml:space="preserve"> vla</w:t>
            </w:r>
            <w:r w:rsidR="00AD0D16">
              <w:rPr>
                <w:rFonts w:ascii="Cambria" w:hAnsi="Cambria" w:cstheme="minorHAnsi"/>
              </w:rPr>
              <w:t>s</w:t>
            </w:r>
            <w:r w:rsidR="007746CA">
              <w:rPr>
                <w:rFonts w:ascii="Cambria" w:hAnsi="Cambria" w:cstheme="minorHAnsi"/>
              </w:rPr>
              <w:t>tních ČOV</w:t>
            </w:r>
            <w:r w:rsidR="0052595E">
              <w:rPr>
                <w:rFonts w:ascii="Cambria" w:hAnsi="Cambria" w:cstheme="minorHAnsi"/>
              </w:rPr>
              <w:t>,</w:t>
            </w:r>
            <w:r w:rsidR="0063591E">
              <w:rPr>
                <w:rFonts w:ascii="Cambria" w:hAnsi="Cambria" w:cstheme="minorHAnsi"/>
              </w:rPr>
              <w:t xml:space="preserve"> platí řádné poplatky dle</w:t>
            </w:r>
            <w:r>
              <w:rPr>
                <w:rFonts w:ascii="Cambria" w:hAnsi="Cambria" w:cstheme="minorHAnsi"/>
              </w:rPr>
              <w:t xml:space="preserve"> </w:t>
            </w:r>
            <w:r w:rsidR="0063591E">
              <w:rPr>
                <w:rFonts w:ascii="Cambria" w:hAnsi="Cambria" w:cstheme="minorHAnsi"/>
              </w:rPr>
              <w:t>principu</w:t>
            </w:r>
            <w:r>
              <w:rPr>
                <w:rFonts w:ascii="Cambria" w:hAnsi="Cambria" w:cstheme="minorHAnsi"/>
              </w:rPr>
              <w:t xml:space="preserve"> „znečišťovatel platí“.</w:t>
            </w:r>
            <w:r w:rsidR="002C6008">
              <w:rPr>
                <w:rFonts w:ascii="Cambria" w:hAnsi="Cambria" w:cstheme="minorHAnsi"/>
              </w:rPr>
              <w:t xml:space="preserve"> Z OPŽP 2014-2020 nebudou financovány intervence vedoucí k napojení průmyslových podniků na zdroje pitné vody.</w:t>
            </w:r>
          </w:p>
          <w:p w:rsidR="00567E66" w:rsidRDefault="00567E66" w:rsidP="00A5246C">
            <w:pPr>
              <w:spacing w:line="276" w:lineRule="auto"/>
              <w:rPr>
                <w:rFonts w:ascii="Cambria" w:hAnsi="Cambria" w:cstheme="minorHAnsi"/>
              </w:rPr>
            </w:pPr>
          </w:p>
          <w:p w:rsidR="0063591E" w:rsidRPr="004D38AB" w:rsidRDefault="0063591E" w:rsidP="0063591E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Helv"/>
                <w:color w:val="000000"/>
              </w:rPr>
            </w:pPr>
            <w:r w:rsidRPr="004D38AB">
              <w:rPr>
                <w:rFonts w:asciiTheme="majorHAnsi" w:hAnsiTheme="majorHAnsi" w:cs="Helv"/>
                <w:color w:val="000000"/>
              </w:rPr>
              <w:t xml:space="preserve">Ve vztahu k Operačnímu programu Životní prostředí 2014-2020 se budou uplatňovat </w:t>
            </w:r>
            <w:r w:rsidR="008339BA">
              <w:rPr>
                <w:rFonts w:asciiTheme="majorHAnsi" w:hAnsiTheme="majorHAnsi" w:cs="Helv"/>
                <w:color w:val="000000"/>
              </w:rPr>
              <w:t xml:space="preserve">pro oblast pitné vody a odpadních vod </w:t>
            </w:r>
            <w:r w:rsidRPr="004D38AB">
              <w:rPr>
                <w:rFonts w:asciiTheme="majorHAnsi" w:hAnsiTheme="majorHAnsi" w:cs="Helv"/>
                <w:color w:val="000000"/>
              </w:rPr>
              <w:t>podmínky přijatelnosti ustanovené v rámci Přílohy 6 (</w:t>
            </w:r>
            <w:r w:rsidR="002C6008">
              <w:rPr>
                <w:rFonts w:asciiTheme="majorHAnsi" w:hAnsiTheme="majorHAnsi" w:cs="Helv"/>
                <w:color w:val="000000"/>
              </w:rPr>
              <w:t>navazuje</w:t>
            </w:r>
            <w:r w:rsidRPr="004D38AB">
              <w:rPr>
                <w:rFonts w:asciiTheme="majorHAnsi" w:hAnsiTheme="majorHAnsi" w:cs="Helv"/>
                <w:color w:val="000000"/>
              </w:rPr>
              <w:t xml:space="preserve"> </w:t>
            </w:r>
            <w:r w:rsidR="002C6008">
              <w:rPr>
                <w:rFonts w:asciiTheme="majorHAnsi" w:hAnsiTheme="majorHAnsi" w:cs="Helv"/>
                <w:color w:val="000000"/>
              </w:rPr>
              <w:t>na</w:t>
            </w:r>
            <w:r w:rsidRPr="004D38AB">
              <w:rPr>
                <w:rFonts w:asciiTheme="majorHAnsi" w:hAnsiTheme="majorHAnsi" w:cs="Helv"/>
                <w:color w:val="000000"/>
              </w:rPr>
              <w:t> </w:t>
            </w:r>
            <w:r w:rsidR="002C6008">
              <w:rPr>
                <w:rFonts w:asciiTheme="majorHAnsi" w:hAnsiTheme="majorHAnsi" w:cs="Helv"/>
                <w:color w:val="000000"/>
              </w:rPr>
              <w:t>P</w:t>
            </w:r>
            <w:r w:rsidRPr="004D38AB">
              <w:rPr>
                <w:rFonts w:asciiTheme="majorHAnsi" w:hAnsiTheme="majorHAnsi" w:cs="Helv"/>
                <w:color w:val="000000"/>
              </w:rPr>
              <w:t>říloh</w:t>
            </w:r>
            <w:r w:rsidR="002C6008">
              <w:rPr>
                <w:rFonts w:asciiTheme="majorHAnsi" w:hAnsiTheme="majorHAnsi" w:cs="Helv"/>
                <w:color w:val="000000"/>
              </w:rPr>
              <w:t>u č.</w:t>
            </w:r>
            <w:r w:rsidRPr="004D38AB">
              <w:rPr>
                <w:rFonts w:asciiTheme="majorHAnsi" w:hAnsiTheme="majorHAnsi" w:cs="Helv"/>
                <w:color w:val="000000"/>
              </w:rPr>
              <w:t xml:space="preserve"> 7 pro programové období 2007-2013), a to na všechny spolufinancované projekty z Fondu soudržnosti a z Regionálního fondu pro regionální rozvoj. Implementace </w:t>
            </w:r>
            <w:r w:rsidR="0056547E">
              <w:rPr>
                <w:rFonts w:asciiTheme="majorHAnsi" w:hAnsiTheme="majorHAnsi" w:cs="Helv"/>
                <w:color w:val="000000"/>
              </w:rPr>
              <w:t>a kontrola</w:t>
            </w:r>
            <w:r w:rsidR="00AB5B5D">
              <w:rPr>
                <w:rFonts w:asciiTheme="majorHAnsi" w:hAnsiTheme="majorHAnsi" w:cs="Helv"/>
                <w:color w:val="000000"/>
              </w:rPr>
              <w:t xml:space="preserve"> </w:t>
            </w:r>
            <w:r w:rsidR="00F81945">
              <w:rPr>
                <w:rFonts w:asciiTheme="majorHAnsi" w:hAnsiTheme="majorHAnsi" w:cs="Helv"/>
                <w:color w:val="000000"/>
              </w:rPr>
              <w:t xml:space="preserve">dodržování </w:t>
            </w:r>
            <w:r w:rsidRPr="004D38AB">
              <w:rPr>
                <w:rFonts w:asciiTheme="majorHAnsi" w:hAnsiTheme="majorHAnsi" w:cs="Helv"/>
                <w:color w:val="000000"/>
              </w:rPr>
              <w:t xml:space="preserve">těchto podmínek přijatelnosti bude v plné gesci Ministerstva životního prostředí.  </w:t>
            </w:r>
          </w:p>
          <w:p w:rsidR="00773201" w:rsidRDefault="00773201" w:rsidP="00A5246C">
            <w:pPr>
              <w:spacing w:line="276" w:lineRule="auto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Ve smyslu článku 9 </w:t>
            </w:r>
            <w:r w:rsidR="0004219B">
              <w:rPr>
                <w:rFonts w:ascii="Cambria" w:hAnsi="Cambria" w:cstheme="minorHAnsi"/>
              </w:rPr>
              <w:t xml:space="preserve">odst. 1 </w:t>
            </w:r>
            <w:r>
              <w:rPr>
                <w:rFonts w:ascii="Cambria" w:hAnsi="Cambria" w:cstheme="minorHAnsi"/>
              </w:rPr>
              <w:t>R</w:t>
            </w:r>
            <w:r w:rsidR="00110F5C">
              <w:rPr>
                <w:rFonts w:ascii="Cambria" w:hAnsi="Cambria" w:cstheme="minorHAnsi"/>
              </w:rPr>
              <w:t>ámc</w:t>
            </w:r>
            <w:r>
              <w:rPr>
                <w:rFonts w:ascii="Cambria" w:hAnsi="Cambria" w:cstheme="minorHAnsi"/>
              </w:rPr>
              <w:t xml:space="preserve">ové směrnice o vodách nebude </w:t>
            </w:r>
            <w:r w:rsidR="00110F5C">
              <w:rPr>
                <w:rFonts w:ascii="Cambria" w:hAnsi="Cambria" w:cstheme="minorHAnsi"/>
              </w:rPr>
              <w:t>Ministers</w:t>
            </w:r>
            <w:r>
              <w:rPr>
                <w:rFonts w:ascii="Cambria" w:hAnsi="Cambria" w:cstheme="minorHAnsi"/>
              </w:rPr>
              <w:t>tvo životního prostředí podporovat takové projekty z OP ŽP 2014-2020, které by spadaly do s</w:t>
            </w:r>
            <w:r w:rsidR="00EF63E1">
              <w:rPr>
                <w:rFonts w:ascii="Cambria" w:hAnsi="Cambria" w:cstheme="minorHAnsi"/>
              </w:rPr>
              <w:t>ektor</w:t>
            </w:r>
            <w:r>
              <w:rPr>
                <w:rFonts w:ascii="Cambria" w:hAnsi="Cambria" w:cstheme="minorHAnsi"/>
              </w:rPr>
              <w:t>u</w:t>
            </w:r>
            <w:r w:rsidR="00EF63E1">
              <w:rPr>
                <w:rFonts w:ascii="Cambria" w:hAnsi="Cambria" w:cstheme="minorHAnsi"/>
              </w:rPr>
              <w:t xml:space="preserve"> zemědělství</w:t>
            </w:r>
            <w:r>
              <w:rPr>
                <w:rFonts w:ascii="Cambria" w:hAnsi="Cambria" w:cstheme="minorHAnsi"/>
              </w:rPr>
              <w:t xml:space="preserve"> </w:t>
            </w:r>
            <w:r w:rsidR="00EF63E1">
              <w:rPr>
                <w:rFonts w:ascii="Cambria" w:hAnsi="Cambria" w:cstheme="minorHAnsi"/>
              </w:rPr>
              <w:t>či průmyslu</w:t>
            </w:r>
            <w:r>
              <w:rPr>
                <w:rFonts w:ascii="Cambria" w:hAnsi="Cambria" w:cstheme="minorHAnsi"/>
              </w:rPr>
              <w:t xml:space="preserve">. </w:t>
            </w:r>
            <w:r w:rsidR="000470D1">
              <w:rPr>
                <w:rFonts w:ascii="Cambria" w:hAnsi="Cambria" w:cstheme="minorHAnsi"/>
              </w:rPr>
              <w:t>P</w:t>
            </w:r>
            <w:r>
              <w:rPr>
                <w:rFonts w:ascii="Cambria" w:hAnsi="Cambria" w:cstheme="minorHAnsi"/>
              </w:rPr>
              <w:t>oplatky za využívání vody u malých vodních elektráren, za uskladnění či zadr</w:t>
            </w:r>
            <w:r w:rsidR="00CF30A4">
              <w:rPr>
                <w:rFonts w:ascii="Cambria" w:hAnsi="Cambria" w:cstheme="minorHAnsi"/>
              </w:rPr>
              <w:t>žení vody</w:t>
            </w:r>
            <w:r w:rsidR="003163AE">
              <w:rPr>
                <w:rFonts w:ascii="Cambria" w:hAnsi="Cambria" w:cstheme="minorHAnsi"/>
              </w:rPr>
              <w:t xml:space="preserve"> a</w:t>
            </w:r>
            <w:r w:rsidR="00CF30A4">
              <w:rPr>
                <w:rFonts w:ascii="Cambria" w:hAnsi="Cambria" w:cstheme="minorHAnsi"/>
              </w:rPr>
              <w:t xml:space="preserve"> chlazení nejsou </w:t>
            </w:r>
            <w:r w:rsidR="00CA0E6B">
              <w:rPr>
                <w:rFonts w:ascii="Cambria" w:hAnsi="Cambria" w:cstheme="minorHAnsi"/>
              </w:rPr>
              <w:t>pro intervenci z OPŽP 2014-</w:t>
            </w:r>
            <w:r w:rsidR="000470D1">
              <w:rPr>
                <w:rFonts w:ascii="Cambria" w:hAnsi="Cambria" w:cstheme="minorHAnsi"/>
              </w:rPr>
              <w:t>2020</w:t>
            </w:r>
            <w:r w:rsidR="00CF30A4">
              <w:rPr>
                <w:rFonts w:ascii="Cambria" w:hAnsi="Cambria" w:cstheme="minorHAnsi"/>
              </w:rPr>
              <w:t xml:space="preserve"> relevantní</w:t>
            </w:r>
            <w:r w:rsidR="00324037">
              <w:rPr>
                <w:rFonts w:ascii="Cambria" w:hAnsi="Cambria" w:cstheme="minorHAnsi"/>
              </w:rPr>
              <w:t xml:space="preserve"> </w:t>
            </w:r>
            <w:r w:rsidR="000470D1">
              <w:rPr>
                <w:rFonts w:ascii="Cambria" w:hAnsi="Cambria" w:cstheme="minorHAnsi"/>
              </w:rPr>
              <w:t>(</w:t>
            </w:r>
            <w:r w:rsidR="00CF30A4">
              <w:rPr>
                <w:rFonts w:ascii="Cambria" w:hAnsi="Cambria" w:cstheme="minorHAnsi"/>
              </w:rPr>
              <w:t>zároveň nespadají do gesce Ministerstva životního prostředí</w:t>
            </w:r>
            <w:r w:rsidR="000470D1">
              <w:rPr>
                <w:rFonts w:ascii="Cambria" w:hAnsi="Cambria" w:cstheme="minorHAnsi"/>
              </w:rPr>
              <w:t>)</w:t>
            </w:r>
            <w:r w:rsidR="00CF30A4">
              <w:rPr>
                <w:rFonts w:ascii="Cambria" w:hAnsi="Cambria" w:cstheme="minorHAnsi"/>
              </w:rPr>
              <w:t xml:space="preserve">. </w:t>
            </w:r>
          </w:p>
          <w:p w:rsidR="00266286" w:rsidRDefault="00266286" w:rsidP="00A5246C">
            <w:pPr>
              <w:spacing w:line="276" w:lineRule="auto"/>
              <w:rPr>
                <w:rFonts w:ascii="Cambria" w:hAnsi="Cambria" w:cstheme="minorHAnsi"/>
              </w:rPr>
            </w:pPr>
          </w:p>
          <w:p w:rsidR="00266286" w:rsidRDefault="00266286" w:rsidP="00A5246C">
            <w:pPr>
              <w:spacing w:line="276" w:lineRule="auto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Ministerstvo životního prostředí tímto deklaruje, že nedochází ke křížovému subvencování a nedojde tak k narušení cenové politiky v sektorech, které jsou hrazeny z Evropského fondu pro regionální rozvoj a z Fondu soudržnosti.</w:t>
            </w:r>
          </w:p>
          <w:p w:rsidR="0054424D" w:rsidRDefault="0054424D" w:rsidP="0063591E">
            <w:pPr>
              <w:spacing w:after="120"/>
              <w:jc w:val="both"/>
              <w:rPr>
                <w:rFonts w:ascii="Cambria" w:hAnsi="Cambria" w:cstheme="minorHAnsi"/>
              </w:rPr>
            </w:pPr>
          </w:p>
          <w:p w:rsidR="0063591E" w:rsidRDefault="0063591E" w:rsidP="0063591E">
            <w:pPr>
              <w:spacing w:after="120"/>
              <w:jc w:val="both"/>
              <w:rPr>
                <w:rFonts w:asciiTheme="majorHAnsi" w:hAnsiTheme="majorHAnsi" w:cs="Arial"/>
                <w:bdr w:val="nil"/>
              </w:rPr>
            </w:pPr>
            <w:r w:rsidRPr="005C24C7">
              <w:rPr>
                <w:rFonts w:asciiTheme="majorHAnsi" w:hAnsiTheme="majorHAnsi" w:cs="Arial"/>
                <w:bdr w:val="nil"/>
              </w:rPr>
              <w:t xml:space="preserve">Dne 9. února 2015 vláda ČR schválila, že se zachová stávající stav </w:t>
            </w:r>
            <w:r w:rsidR="00AB5B5D">
              <w:rPr>
                <w:rFonts w:asciiTheme="majorHAnsi" w:hAnsiTheme="majorHAnsi" w:cs="Arial"/>
                <w:bdr w:val="nil"/>
              </w:rPr>
              <w:t xml:space="preserve">regulace ve vodárenství za současného </w:t>
            </w:r>
            <w:r w:rsidRPr="005C24C7">
              <w:rPr>
                <w:rFonts w:asciiTheme="majorHAnsi" w:hAnsiTheme="majorHAnsi" w:cs="Arial"/>
                <w:bdr w:val="nil"/>
              </w:rPr>
              <w:t xml:space="preserve"> posílení role Ministerstva zemědělství jako </w:t>
            </w:r>
            <w:r w:rsidR="00AB5B5D">
              <w:rPr>
                <w:rFonts w:asciiTheme="majorHAnsi" w:hAnsiTheme="majorHAnsi" w:cs="Arial"/>
                <w:bdr w:val="nil"/>
              </w:rPr>
              <w:t xml:space="preserve">věcného </w:t>
            </w:r>
            <w:r w:rsidRPr="005C24C7">
              <w:rPr>
                <w:rFonts w:asciiTheme="majorHAnsi" w:hAnsiTheme="majorHAnsi" w:cs="Arial"/>
                <w:bdr w:val="nil"/>
              </w:rPr>
              <w:t>regulátora v oblasti benchmarkingu</w:t>
            </w:r>
            <w:r w:rsidR="00AB5B5D">
              <w:rPr>
                <w:rFonts w:asciiTheme="majorHAnsi" w:hAnsiTheme="majorHAnsi" w:cs="Arial"/>
                <w:bdr w:val="nil"/>
              </w:rPr>
              <w:t>, dozoru</w:t>
            </w:r>
            <w:r w:rsidRPr="005C24C7">
              <w:rPr>
                <w:rFonts w:asciiTheme="majorHAnsi" w:hAnsiTheme="majorHAnsi" w:cs="Arial"/>
                <w:bdr w:val="nil"/>
              </w:rPr>
              <w:t xml:space="preserve"> a vyřizování dotazů veřejnosti. </w:t>
            </w:r>
          </w:p>
          <w:p w:rsidR="0063591E" w:rsidRPr="00726BCD" w:rsidRDefault="0063591E" w:rsidP="0063591E">
            <w:pPr>
              <w:spacing w:after="120"/>
              <w:jc w:val="both"/>
              <w:rPr>
                <w:rFonts w:asciiTheme="majorHAnsi" w:hAnsiTheme="majorHAnsi" w:cs="Arial"/>
              </w:rPr>
            </w:pPr>
            <w:r w:rsidRPr="00726BCD">
              <w:rPr>
                <w:rFonts w:asciiTheme="majorHAnsi" w:hAnsiTheme="majorHAnsi" w:cs="Arial"/>
              </w:rPr>
              <w:t>Koncepční řešení regulace cen ve vodárenství v</w:t>
            </w:r>
            <w:r w:rsidRPr="003B703E">
              <w:rPr>
                <w:rFonts w:asciiTheme="majorHAnsi" w:hAnsiTheme="majorHAnsi" w:cs="Arial"/>
              </w:rPr>
              <w:t xml:space="preserve"> ČR bylo </w:t>
            </w:r>
            <w:r w:rsidRPr="00BD739B">
              <w:rPr>
                <w:rFonts w:asciiTheme="majorHAnsi" w:hAnsiTheme="majorHAnsi" w:cs="Arial"/>
              </w:rPr>
              <w:t>předloženo pod č. 91/15</w:t>
            </w:r>
            <w:r>
              <w:rPr>
                <w:rFonts w:asciiTheme="majorHAnsi" w:hAnsiTheme="majorHAnsi" w:cs="Arial"/>
              </w:rPr>
              <w:t xml:space="preserve"> (viz odkazy níže – výsledky jednání </w:t>
            </w:r>
            <w:r>
              <w:rPr>
                <w:rFonts w:asciiTheme="majorHAnsi" w:hAnsiTheme="majorHAnsi" w:cs="Arial"/>
              </w:rPr>
              <w:lastRenderedPageBreak/>
              <w:t>vlády):</w:t>
            </w:r>
          </w:p>
          <w:p w:rsidR="0063591E" w:rsidRDefault="0063591E" w:rsidP="0063591E">
            <w:pPr>
              <w:autoSpaceDE w:val="0"/>
              <w:autoSpaceDN w:val="0"/>
              <w:adjustRightInd w:val="0"/>
              <w:spacing w:after="240"/>
              <w:rPr>
                <w:rFonts w:ascii="Cambria" w:hAnsi="Cambria" w:cs="Helv"/>
                <w:color w:val="000000"/>
              </w:rPr>
            </w:pPr>
            <w:r w:rsidRPr="00726BCD">
              <w:rPr>
                <w:rFonts w:ascii="Cambria" w:hAnsi="Cambria" w:cs="Helv"/>
                <w:color w:val="000000"/>
              </w:rPr>
              <w:t>http://www.vlada.cz/cz/media-centrum/tiskove-zpravy/vysledky-jednani-vlady--9--unora-2015-126616/</w:t>
            </w:r>
          </w:p>
          <w:p w:rsidR="0063591E" w:rsidRDefault="00B87EA6" w:rsidP="0063591E">
            <w:pPr>
              <w:autoSpaceDE w:val="0"/>
              <w:autoSpaceDN w:val="0"/>
              <w:adjustRightInd w:val="0"/>
              <w:spacing w:after="240"/>
              <w:rPr>
                <w:rFonts w:ascii="Cambria" w:hAnsi="Cambria" w:cs="Helv"/>
                <w:color w:val="000000"/>
              </w:rPr>
            </w:pPr>
            <w:hyperlink r:id="rId8" w:history="1">
              <w:r w:rsidR="0063591E" w:rsidRPr="00FE2900">
                <w:rPr>
                  <w:rStyle w:val="Hypertextovodkaz"/>
                  <w:rFonts w:ascii="Cambria" w:hAnsi="Cambria" w:cs="Helv"/>
                </w:rPr>
                <w:t>https://apps.odok.cz/djv-agenda?date=2015-02-9</w:t>
              </w:r>
            </w:hyperlink>
          </w:p>
          <w:p w:rsidR="00A5246C" w:rsidRPr="004A09AF" w:rsidRDefault="00A5246C" w:rsidP="004D38AB">
            <w:pPr>
              <w:autoSpaceDE w:val="0"/>
              <w:autoSpaceDN w:val="0"/>
              <w:adjustRightInd w:val="0"/>
              <w:spacing w:after="240"/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694" w:type="dxa"/>
            <w:shd w:val="clear" w:color="auto" w:fill="EAF1DD" w:themeFill="accent3" w:themeFillTint="33"/>
          </w:tcPr>
          <w:p w:rsidR="00371274" w:rsidRPr="004A09AF" w:rsidRDefault="00371274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  <w:p w:rsidR="00371274" w:rsidRPr="004A09AF" w:rsidRDefault="00371274" w:rsidP="00371274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Působnost ústředního správního orgánu na úseku vodního hospodářství je sdílena mezi čtyřmi ministerstvy. Nejdůležitějšími z nich jsou resorty zemědělství a životního prostředí. </w:t>
            </w:r>
          </w:p>
          <w:p w:rsidR="00371274" w:rsidRPr="004A09AF" w:rsidRDefault="00371274" w:rsidP="00371274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Ministerstvo dopravy vykonává působnost ústředního vodoprávního úřadu ve věcech užívání povrchových vod k plavbě. </w:t>
            </w:r>
          </w:p>
          <w:p w:rsidR="00371274" w:rsidRPr="004A09AF" w:rsidRDefault="00371274" w:rsidP="00371274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color w:val="auto"/>
                <w:sz w:val="20"/>
                <w:szCs w:val="20"/>
              </w:rPr>
              <w:t>Ministerstvo</w:t>
            </w:r>
            <w:r w:rsidRPr="004A09AF">
              <w:rPr>
                <w:rFonts w:ascii="Cambria" w:hAnsi="Cambria"/>
                <w:sz w:val="20"/>
                <w:szCs w:val="20"/>
              </w:rPr>
              <w:t xml:space="preserve"> obrany vykonává působnost ústředního vodoprávního úřadu ve věcech, v nichž je založena působnost újezdních úřadů. </w:t>
            </w:r>
          </w:p>
          <w:p w:rsidR="00511639" w:rsidRPr="004A09AF" w:rsidRDefault="00371274" w:rsidP="00222548">
            <w:pPr>
              <w:pStyle w:val="Default"/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color w:val="auto"/>
                <w:sz w:val="20"/>
                <w:szCs w:val="20"/>
              </w:rPr>
              <w:t xml:space="preserve">Ministerstvo financí (není ústředním správním úřadem na úseku vodního hospodářství) reguluje oblast cen, ve které pomocí </w:t>
            </w:r>
            <w:r w:rsidRPr="004A09AF">
              <w:rPr>
                <w:rFonts w:ascii="Cambria" w:hAnsi="Cambria" w:cstheme="minorHAnsi"/>
                <w:color w:val="auto"/>
                <w:sz w:val="20"/>
                <w:szCs w:val="20"/>
              </w:rPr>
              <w:lastRenderedPageBreak/>
              <w:t xml:space="preserve">věcně usměrňovaných cen vykonává cenovou kontrolu nad vodným a stočným – cenami pitné vody a odvádění a čištění odpadních vod a nad cenami za platby za odběry povrchové vody. </w:t>
            </w:r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846CFD" w:rsidRPr="00846CFD" w:rsidTr="0059378E">
        <w:trPr>
          <w:trHeight w:val="244"/>
        </w:trPr>
        <w:tc>
          <w:tcPr>
            <w:tcW w:w="1863" w:type="dxa"/>
            <w:vMerge/>
            <w:shd w:val="clear" w:color="auto" w:fill="EAF1DD" w:themeFill="accent3" w:themeFillTint="33"/>
          </w:tcPr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EAF1DD" w:themeFill="accent3" w:themeFillTint="33"/>
          </w:tcPr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Prioritní osa 1: Zlepšování  kvality vody a snižování rizika povodní</w:t>
            </w:r>
          </w:p>
        </w:tc>
        <w:tc>
          <w:tcPr>
            <w:tcW w:w="1201" w:type="dxa"/>
            <w:shd w:val="clear" w:color="auto" w:fill="EAF1DD" w:themeFill="accent3" w:themeFillTint="33"/>
          </w:tcPr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Částečně</w:t>
            </w:r>
          </w:p>
        </w:tc>
        <w:tc>
          <w:tcPr>
            <w:tcW w:w="1740" w:type="dxa"/>
            <w:shd w:val="clear" w:color="auto" w:fill="EAF1DD" w:themeFill="accent3" w:themeFillTint="33"/>
          </w:tcPr>
          <w:p w:rsidR="00A4228F" w:rsidRPr="004A09AF" w:rsidRDefault="00A4228F" w:rsidP="00A4228F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Přijetí plánu povodí pro oblasti povodí v souladu s článkem 13 směrnice </w:t>
            </w:r>
            <w:r w:rsidR="00A545CA" w:rsidRPr="004A09AF">
              <w:rPr>
                <w:rFonts w:ascii="Cambria" w:hAnsi="Cambria"/>
                <w:sz w:val="20"/>
                <w:szCs w:val="20"/>
              </w:rPr>
              <w:t>200</w:t>
            </w:r>
            <w:r w:rsidR="00A545CA">
              <w:rPr>
                <w:rFonts w:ascii="Cambria" w:hAnsi="Cambria"/>
                <w:sz w:val="20"/>
                <w:szCs w:val="20"/>
              </w:rPr>
              <w:t>0</w:t>
            </w:r>
            <w:r w:rsidRPr="004A09AF">
              <w:rPr>
                <w:rFonts w:ascii="Cambria" w:hAnsi="Cambria"/>
                <w:sz w:val="20"/>
                <w:szCs w:val="20"/>
              </w:rPr>
              <w:t xml:space="preserve">/60/ES. </w:t>
            </w:r>
          </w:p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EAF1DD" w:themeFill="accent3" w:themeFillTint="33"/>
          </w:tcPr>
          <w:p w:rsidR="00511639" w:rsidRPr="004A09AF" w:rsidRDefault="0051163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Částečně</w:t>
            </w:r>
          </w:p>
        </w:tc>
        <w:tc>
          <w:tcPr>
            <w:tcW w:w="5681" w:type="dxa"/>
            <w:shd w:val="clear" w:color="auto" w:fill="EAF1DD" w:themeFill="accent3" w:themeFillTint="33"/>
          </w:tcPr>
          <w:p w:rsidR="00511639" w:rsidRPr="004A09AF" w:rsidRDefault="00E14477" w:rsidP="006F6CF0">
            <w:pPr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>Odkazy na Plány povodí:</w:t>
            </w:r>
            <w:r w:rsidR="00511639" w:rsidRPr="004A09AF">
              <w:rPr>
                <w:rFonts w:ascii="Cambria" w:hAnsi="Cambria" w:cstheme="minorHAnsi"/>
              </w:rPr>
              <w:t xml:space="preserve"> </w:t>
            </w:r>
          </w:p>
          <w:p w:rsidR="00846CFD" w:rsidRPr="004A09AF" w:rsidRDefault="00846CFD" w:rsidP="006F6CF0">
            <w:pPr>
              <w:jc w:val="both"/>
              <w:rPr>
                <w:rFonts w:ascii="Cambria" w:hAnsi="Cambria" w:cstheme="minorHAnsi"/>
              </w:rPr>
            </w:pPr>
          </w:p>
          <w:p w:rsidR="00511639" w:rsidRPr="004A09AF" w:rsidRDefault="00E14477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Plány </w:t>
            </w:r>
            <w:r w:rsidR="00511639" w:rsidRPr="004A09AF">
              <w:rPr>
                <w:rFonts w:ascii="Cambria" w:hAnsi="Cambria" w:cstheme="minorHAnsi"/>
              </w:rPr>
              <w:t xml:space="preserve"> A </w:t>
            </w:r>
            <w:r w:rsidR="000D709A" w:rsidRPr="004A09AF">
              <w:rPr>
                <w:rFonts w:ascii="Cambria" w:hAnsi="Cambria" w:cstheme="minorHAnsi"/>
              </w:rPr>
              <w:t>(mezinárodní oblasti povodí)</w:t>
            </w:r>
            <w:r w:rsidR="00511639" w:rsidRPr="004A09AF">
              <w:rPr>
                <w:rFonts w:ascii="Cambria" w:hAnsi="Cambria" w:cstheme="minorHAnsi"/>
              </w:rPr>
              <w:t>:</w:t>
            </w:r>
          </w:p>
          <w:p w:rsidR="00E14477" w:rsidRPr="004A09AF" w:rsidRDefault="00E14477" w:rsidP="006F6CF0">
            <w:pPr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>Dunaj</w:t>
            </w:r>
          </w:p>
          <w:p w:rsidR="00511639" w:rsidRPr="004A09AF" w:rsidRDefault="00B87EA6" w:rsidP="006F6CF0">
            <w:pPr>
              <w:jc w:val="both"/>
              <w:rPr>
                <w:rFonts w:ascii="Cambria" w:hAnsi="Cambria" w:cstheme="minorHAnsi"/>
              </w:rPr>
            </w:pPr>
            <w:hyperlink r:id="rId9" w:history="1">
              <w:r w:rsidR="00511639" w:rsidRPr="004A09AF">
                <w:rPr>
                  <w:rStyle w:val="Hypertextovodkaz"/>
                  <w:rFonts w:ascii="Cambria" w:hAnsi="Cambria" w:cstheme="minorHAnsi"/>
                  <w:color w:val="auto"/>
                </w:rPr>
                <w:t>http://www.icpdr.org/participate/danube_river_basin_management_plan</w:t>
              </w:r>
            </w:hyperlink>
          </w:p>
          <w:p w:rsidR="00511639" w:rsidRPr="004A09AF" w:rsidRDefault="00E14477" w:rsidP="006F6CF0">
            <w:pPr>
              <w:jc w:val="both"/>
              <w:rPr>
                <w:rStyle w:val="Hypertextovodkaz"/>
                <w:rFonts w:ascii="Cambria" w:hAnsi="Cambria" w:cstheme="minorHAnsi"/>
                <w:color w:val="auto"/>
              </w:rPr>
            </w:pPr>
            <w:r w:rsidRPr="004A09AF">
              <w:rPr>
                <w:rFonts w:ascii="Cambria" w:hAnsi="Cambria" w:cstheme="minorHAnsi"/>
              </w:rPr>
              <w:t>Labe</w:t>
            </w:r>
            <w:r w:rsidR="00511639" w:rsidRPr="004A09AF">
              <w:rPr>
                <w:rStyle w:val="Hypertextovodkaz"/>
                <w:rFonts w:ascii="Cambria" w:hAnsi="Cambria" w:cstheme="minorHAnsi"/>
                <w:color w:val="auto"/>
              </w:rPr>
              <w:t xml:space="preserve"> </w:t>
            </w:r>
            <w:hyperlink r:id="rId10" w:history="1">
              <w:r w:rsidR="00511639" w:rsidRPr="004A09AF">
                <w:rPr>
                  <w:rStyle w:val="Hypertextovodkaz"/>
                  <w:rFonts w:ascii="Cambria" w:hAnsi="Cambria" w:cstheme="minorHAnsi"/>
                  <w:color w:val="auto"/>
                </w:rPr>
                <w:t>http://www.ikse-mkol.org/index.php?id=513&amp;L=1</w:t>
              </w:r>
            </w:hyperlink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Style w:val="Hypertextovodkaz"/>
                <w:rFonts w:ascii="Cambria" w:hAnsi="Cambria" w:cstheme="minorHAnsi"/>
                <w:color w:val="auto"/>
              </w:rPr>
            </w:pPr>
            <w:r w:rsidRPr="004A09AF">
              <w:rPr>
                <w:rFonts w:ascii="Cambria" w:hAnsi="Cambria" w:cstheme="minorHAnsi"/>
              </w:rPr>
              <w:t>Odra</w:t>
            </w:r>
            <w:r w:rsidRPr="004A09AF">
              <w:rPr>
                <w:rStyle w:val="Hypertextovodkaz"/>
                <w:rFonts w:ascii="Cambria" w:hAnsi="Cambria" w:cstheme="minorHAnsi"/>
                <w:color w:val="auto"/>
              </w:rPr>
              <w:t xml:space="preserve"> </w:t>
            </w:r>
            <w:hyperlink r:id="rId11" w:history="1">
              <w:r w:rsidRPr="004A09AF">
                <w:rPr>
                  <w:rStyle w:val="Hypertextovodkaz"/>
                  <w:rFonts w:ascii="Cambria" w:hAnsi="Cambria" w:cstheme="minorHAnsi"/>
                  <w:color w:val="auto"/>
                </w:rPr>
                <w:t>http://www.mkoo.pl/show.php?fid=2808&amp;lang=CZ</w:t>
              </w:r>
            </w:hyperlink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Style w:val="Hypertextovodkaz"/>
                <w:rFonts w:ascii="Cambria" w:hAnsi="Cambria" w:cstheme="minorHAnsi"/>
                <w:color w:val="auto"/>
              </w:rPr>
            </w:pPr>
          </w:p>
          <w:p w:rsidR="00511639" w:rsidRPr="004A09AF" w:rsidRDefault="00B87EA6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hyperlink r:id="rId12" w:history="1">
              <w:r w:rsidR="00511639" w:rsidRPr="004A09AF">
                <w:rPr>
                  <w:rStyle w:val="Hypertextovodkaz"/>
                  <w:rFonts w:ascii="Cambria" w:hAnsi="Cambria" w:cstheme="minorHAnsi"/>
                  <w:color w:val="auto"/>
                </w:rPr>
                <w:t>http://eagri.cz/public/web/file/32725/PHP_anglicky_web.pdf</w:t>
              </w:r>
            </w:hyperlink>
            <w:r w:rsidR="00511639" w:rsidRPr="004A09AF">
              <w:rPr>
                <w:rFonts w:ascii="Cambria" w:hAnsi="Cambria" w:cstheme="minorHAnsi"/>
              </w:rPr>
              <w:t xml:space="preserve"> (English version of The Plan of Main River Basins of the Czech Republic)</w:t>
            </w:r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  <w:p w:rsidR="00511639" w:rsidRPr="004A09AF" w:rsidRDefault="00E14477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Plány </w:t>
            </w:r>
            <w:r w:rsidR="00511639" w:rsidRPr="004A09AF">
              <w:rPr>
                <w:rFonts w:ascii="Cambria" w:hAnsi="Cambria" w:cstheme="minorHAnsi"/>
              </w:rPr>
              <w:t xml:space="preserve"> B</w:t>
            </w:r>
            <w:r w:rsidR="000D709A" w:rsidRPr="004A09AF">
              <w:rPr>
                <w:rFonts w:ascii="Cambria" w:hAnsi="Cambria" w:cstheme="minorHAnsi"/>
              </w:rPr>
              <w:t xml:space="preserve"> (národní úroveň – 3 plány povodí)</w:t>
            </w:r>
            <w:r w:rsidR="00511639" w:rsidRPr="004A09AF">
              <w:rPr>
                <w:rFonts w:ascii="Cambria" w:hAnsi="Cambria" w:cstheme="minorHAnsi"/>
              </w:rPr>
              <w:t>:</w:t>
            </w:r>
          </w:p>
          <w:p w:rsidR="00511639" w:rsidRPr="004A09AF" w:rsidRDefault="00B87EA6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hyperlink r:id="rId13" w:history="1">
              <w:r w:rsidR="00511639" w:rsidRPr="004A09AF">
                <w:rPr>
                  <w:rStyle w:val="Hypertextovodkaz"/>
                  <w:rFonts w:ascii="Cambria" w:hAnsi="Cambria" w:cstheme="minorHAnsi"/>
                  <w:color w:val="auto"/>
                </w:rPr>
                <w:t>http://www.mzp.cz/cz/plany_narodnich_casti_mezinarodnich_povodi</w:t>
              </w:r>
            </w:hyperlink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  <w:p w:rsidR="00511639" w:rsidRPr="004A09AF" w:rsidRDefault="00E14477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>Plány</w:t>
            </w:r>
            <w:r w:rsidR="00511639" w:rsidRPr="004A09AF">
              <w:rPr>
                <w:rFonts w:ascii="Cambria" w:hAnsi="Cambria" w:cstheme="minorHAnsi"/>
              </w:rPr>
              <w:t xml:space="preserve"> C</w:t>
            </w:r>
            <w:r w:rsidR="000D709A" w:rsidRPr="004A09AF">
              <w:rPr>
                <w:rFonts w:ascii="Cambria" w:hAnsi="Cambria" w:cstheme="minorHAnsi"/>
              </w:rPr>
              <w:t xml:space="preserve"> (podrobná národní úroveň – 8 plánů oblastí povodí)</w:t>
            </w:r>
            <w:r w:rsidR="00511639" w:rsidRPr="004A09AF">
              <w:rPr>
                <w:rFonts w:ascii="Cambria" w:hAnsi="Cambria" w:cstheme="minorHAnsi"/>
              </w:rPr>
              <w:t>:</w:t>
            </w:r>
          </w:p>
          <w:p w:rsidR="00511639" w:rsidRPr="004A09AF" w:rsidRDefault="00E14477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Česká verze Plánů oblastí povodí: </w:t>
            </w:r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Style w:val="Hypertextovodkaz"/>
                <w:rFonts w:ascii="Cambria" w:hAnsi="Cambria" w:cstheme="minorHAnsi"/>
                <w:color w:val="auto"/>
              </w:rPr>
            </w:pPr>
            <w:r w:rsidRPr="004A09AF">
              <w:rPr>
                <w:rStyle w:val="Hypertextovodkaz"/>
                <w:rFonts w:ascii="Cambria" w:hAnsi="Cambria" w:cstheme="minorHAnsi"/>
                <w:color w:val="auto"/>
              </w:rPr>
              <w:t>http://www.mzp.cz/C1257458002F0DC7/cz/plan_hlavnich_povodi/$FILE/OOV-PHP-20070523.pdf</w:t>
            </w:r>
          </w:p>
          <w:p w:rsidR="00511639" w:rsidRPr="004A09AF" w:rsidRDefault="00B87EA6" w:rsidP="006F6CF0">
            <w:pPr>
              <w:autoSpaceDE w:val="0"/>
              <w:autoSpaceDN w:val="0"/>
              <w:adjustRightInd w:val="0"/>
              <w:jc w:val="both"/>
              <w:rPr>
                <w:rStyle w:val="Hypertextovodkaz"/>
                <w:rFonts w:ascii="Cambria" w:hAnsi="Cambria" w:cstheme="minorHAnsi"/>
                <w:color w:val="auto"/>
              </w:rPr>
            </w:pPr>
            <w:hyperlink r:id="rId14" w:history="1">
              <w:r w:rsidR="00511639" w:rsidRPr="004A09AF">
                <w:rPr>
                  <w:rStyle w:val="Hypertextovodkaz"/>
                  <w:rFonts w:ascii="Cambria" w:hAnsi="Cambria" w:cstheme="minorHAnsi"/>
                  <w:color w:val="auto"/>
                </w:rPr>
                <w:t>http://www.mzp.cz/cz/plany_oblasti_povodi</w:t>
              </w:r>
            </w:hyperlink>
            <w:r w:rsidR="00511639" w:rsidRPr="004A09AF">
              <w:rPr>
                <w:rStyle w:val="Hypertextovodkaz"/>
                <w:rFonts w:ascii="Cambria" w:hAnsi="Cambria" w:cstheme="minorHAnsi"/>
                <w:color w:val="auto"/>
              </w:rPr>
              <w:t xml:space="preserve">   </w:t>
            </w:r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highlight w:val="yellow"/>
                <w:lang w:val="en-US"/>
              </w:rPr>
            </w:pPr>
          </w:p>
          <w:p w:rsidR="00511639" w:rsidRPr="004A09AF" w:rsidRDefault="00511639" w:rsidP="006F6CF0">
            <w:pPr>
              <w:ind w:left="33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694" w:type="dxa"/>
            <w:shd w:val="clear" w:color="auto" w:fill="EAF1DD" w:themeFill="accent3" w:themeFillTint="33"/>
          </w:tcPr>
          <w:p w:rsidR="00511639" w:rsidRPr="004A09AF" w:rsidRDefault="00511639" w:rsidP="006F6CF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Byly přijaty plány povodí na třech úrovních (mezinárodní, národní, plány oblastí povodí) Splnění plánovacího období dle Rámcové směrnice o vodách 2000/60/ES bylo </w:t>
            </w:r>
            <w:bookmarkStart w:id="1" w:name="_Toc368664532"/>
            <w:r w:rsidRPr="004A09AF">
              <w:rPr>
                <w:rFonts w:ascii="Cambria" w:hAnsi="Cambria" w:cstheme="minorHAnsi"/>
              </w:rPr>
              <w:t>reportováno Evropské komisi.</w:t>
            </w:r>
            <w:bookmarkEnd w:id="1"/>
          </w:p>
          <w:p w:rsidR="00511639" w:rsidRPr="004A09AF" w:rsidRDefault="00511639" w:rsidP="00222548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bookmarkStart w:id="2" w:name="_Toc368664533"/>
            <w:r w:rsidRPr="004A09AF">
              <w:rPr>
                <w:rFonts w:ascii="Cambria" w:hAnsi="Cambria" w:cstheme="minorHAnsi"/>
              </w:rPr>
              <w:t>V současnosti jsou tyto plány v platnosti v příslušných povodích do doby schválení aktualizovaných plánů povodí. Budou zpracovávány plány pro druhé plánovací období v souladu s Rámcovou směrnicí o vodní politice.</w:t>
            </w:r>
            <w:bookmarkEnd w:id="2"/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Plány povodí - proces přípravy a tvorby plánů je komplexní činnost složená z jednotlivých dílčích kroků, pro něž existuje podrobný a značně rozsáhlý harmonogram, tento proces je koordinován mezirezortní Komisí pro plánování v oblasti vod, nejdůležitější finální termíny jsou: proces </w:t>
            </w:r>
            <w:r w:rsidRPr="004A09AF">
              <w:rPr>
                <w:rFonts w:ascii="Cambria" w:hAnsi="Cambria" w:cstheme="minorHAnsi"/>
              </w:rPr>
              <w:lastRenderedPageBreak/>
              <w:t xml:space="preserve">posouzení vlivů jednotlivých plánů povodí na životní prostředí dle zákona  č. 100/2001 Sb., o posuzování vlivů na životní prostředí, resp. vydání stanoviska SEA, předložení národních plánů povodí vládě a jejich zveřejnění – do 22. 12. 2015;  zpracování zprávy a předání EK – do 22. 3. 2016; </w:t>
            </w:r>
            <w:r w:rsidR="002066D3" w:rsidRPr="003E7FF5">
              <w:rPr>
                <w:rFonts w:ascii="Cambria" w:hAnsi="Cambria" w:cstheme="minorHAnsi"/>
              </w:rPr>
              <w:t xml:space="preserve"> </w:t>
            </w:r>
            <w:r w:rsidR="00A673B4" w:rsidRPr="003E7FF5">
              <w:rPr>
                <w:rFonts w:ascii="Cambria" w:hAnsi="Cambria" w:cstheme="minorHAnsi"/>
              </w:rPr>
              <w:t>C</w:t>
            </w:r>
            <w:r w:rsidR="00A673B4" w:rsidRPr="003E7FF5">
              <w:rPr>
                <w:rFonts w:ascii="Cambria" w:hAnsi="Cambria" w:cs="Helv"/>
                <w:color w:val="000000"/>
              </w:rPr>
              <w:t xml:space="preserve">elková ekonomická analýza VH sektoru z pohledu nákladů na </w:t>
            </w:r>
            <w:r w:rsidR="002066D3" w:rsidRPr="003E7FF5">
              <w:rPr>
                <w:rFonts w:ascii="Cambria" w:hAnsi="Cambria" w:cs="Helv"/>
                <w:color w:val="000000"/>
              </w:rPr>
              <w:t>v</w:t>
            </w:r>
            <w:r w:rsidR="00A673B4" w:rsidRPr="003E7FF5">
              <w:rPr>
                <w:rFonts w:ascii="Cambria" w:hAnsi="Cambria" w:cs="Helv"/>
                <w:color w:val="000000"/>
              </w:rPr>
              <w:t xml:space="preserve">odohospodářské služby bude součástí </w:t>
            </w:r>
            <w:r w:rsidR="00AB322D" w:rsidRPr="003E7FF5">
              <w:rPr>
                <w:rFonts w:ascii="Cambria" w:hAnsi="Cambria" w:cs="Helv"/>
                <w:color w:val="000000"/>
              </w:rPr>
              <w:t xml:space="preserve">aktualizovaných </w:t>
            </w:r>
            <w:r w:rsidR="00A673B4" w:rsidRPr="003E7FF5">
              <w:rPr>
                <w:rFonts w:ascii="Cambria" w:hAnsi="Cambria" w:cs="Helv"/>
                <w:color w:val="000000"/>
              </w:rPr>
              <w:t xml:space="preserve">plánů povodí, ale z pohledu plnění EAC pro OPŽP budou sledovány oblasti financované z fondu soudržnosti, tj. </w:t>
            </w:r>
            <w:r w:rsidR="002066D3" w:rsidRPr="003E7FF5">
              <w:rPr>
                <w:rFonts w:ascii="Cambria" w:hAnsi="Cambria" w:cs="Helv"/>
                <w:color w:val="000000"/>
              </w:rPr>
              <w:t xml:space="preserve">v </w:t>
            </w:r>
            <w:r w:rsidR="00A673B4" w:rsidRPr="003E7FF5">
              <w:rPr>
                <w:rFonts w:ascii="Cambria" w:hAnsi="Cambria" w:cs="Helv"/>
                <w:color w:val="000000"/>
              </w:rPr>
              <w:t>oblast</w:t>
            </w:r>
            <w:r w:rsidR="00CB68F3" w:rsidRPr="003E7FF5">
              <w:rPr>
                <w:rFonts w:ascii="Cambria" w:hAnsi="Cambria" w:cs="Helv"/>
                <w:color w:val="000000"/>
              </w:rPr>
              <w:t>i</w:t>
            </w:r>
            <w:r w:rsidR="00A673B4" w:rsidRPr="003E7FF5">
              <w:rPr>
                <w:rFonts w:ascii="Cambria" w:hAnsi="Cambria" w:cs="Helv"/>
                <w:color w:val="000000"/>
              </w:rPr>
              <w:t xml:space="preserve"> </w:t>
            </w:r>
            <w:r w:rsidR="002066D3" w:rsidRPr="003E7FF5">
              <w:rPr>
                <w:rFonts w:ascii="Cambria" w:hAnsi="Cambria" w:cs="Helv"/>
                <w:color w:val="000000"/>
              </w:rPr>
              <w:t>vodovodů a kanalizací</w:t>
            </w:r>
            <w:r w:rsidRPr="004A09AF">
              <w:rPr>
                <w:rFonts w:ascii="Cambria" w:hAnsi="Cambria" w:cstheme="minorHAnsi"/>
              </w:rPr>
              <w:t xml:space="preserve"> . Souběžně v koordinaci s plány povodí jsou zpracovány a schvalovány plány pro zvládání povodňových rizik.  V rámci implementace směrnice 2007/60/ES proběhlo v souladu s jejím článkem 4 dokončení Předběžné vyhodnocení povodňových rizik a </w:t>
            </w:r>
            <w:r w:rsidR="00603040" w:rsidRPr="004A09AF">
              <w:rPr>
                <w:rFonts w:ascii="Cambria" w:hAnsi="Cambria" w:cstheme="minorHAnsi"/>
              </w:rPr>
              <w:t>v prosinci 2013 se dokončily</w:t>
            </w:r>
            <w:r w:rsidRPr="004A09AF">
              <w:rPr>
                <w:rFonts w:ascii="Cambria" w:hAnsi="Cambria" w:cstheme="minorHAnsi"/>
              </w:rPr>
              <w:t xml:space="preserve"> Mapy povodňového nebezpečí a povodňových rizik.</w:t>
            </w:r>
            <w:r w:rsidR="00603040" w:rsidRPr="004A09AF">
              <w:rPr>
                <w:rFonts w:ascii="Cambria" w:hAnsi="Cambria" w:cstheme="minorHAnsi"/>
              </w:rPr>
              <w:t xml:space="preserve"> Zároveň vznikl nástroj pro ukládání dat a prezentace, tj. Systém </w:t>
            </w:r>
            <w:r w:rsidR="00603040" w:rsidRPr="004A09AF">
              <w:rPr>
                <w:rFonts w:ascii="Cambria" w:hAnsi="Cambria" w:cstheme="minorHAnsi"/>
              </w:rPr>
              <w:lastRenderedPageBreak/>
              <w:t xml:space="preserve">centrální databáze (Central Database Systém – </w:t>
            </w:r>
            <w:hyperlink r:id="rId15" w:history="1">
              <w:r w:rsidR="00603040" w:rsidRPr="004A09AF">
                <w:rPr>
                  <w:rStyle w:val="Hypertextovodkaz"/>
                  <w:rFonts w:ascii="Cambria" w:hAnsi="Cambria" w:cstheme="minorHAnsi"/>
                </w:rPr>
                <w:t>http://cds.chmi.cz</w:t>
              </w:r>
            </w:hyperlink>
            <w:r w:rsidR="00603040" w:rsidRPr="004A09AF">
              <w:rPr>
                <w:rFonts w:ascii="Cambria" w:hAnsi="Cambria" w:cstheme="minorHAnsi"/>
              </w:rPr>
              <w:t xml:space="preserve">), zpráva byla </w:t>
            </w:r>
            <w:r w:rsidR="009366BC" w:rsidRPr="004A09AF">
              <w:rPr>
                <w:rFonts w:ascii="Cambria" w:hAnsi="Cambria" w:cstheme="minorHAnsi"/>
              </w:rPr>
              <w:t xml:space="preserve">zpracována a </w:t>
            </w:r>
            <w:r w:rsidR="00603040" w:rsidRPr="004A09AF">
              <w:rPr>
                <w:rFonts w:ascii="Cambria" w:hAnsi="Cambria" w:cstheme="minorHAnsi"/>
              </w:rPr>
              <w:t>zaslána EK do 22.3.2014.</w:t>
            </w:r>
          </w:p>
          <w:p w:rsidR="00603040" w:rsidRPr="004A09AF" w:rsidRDefault="00603040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  <w:p w:rsidR="00511639" w:rsidRPr="004A09AF" w:rsidRDefault="00511639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  <w:p w:rsidR="00307AD1" w:rsidRPr="004A09AF" w:rsidRDefault="00307AD1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</w:tc>
      </w:tr>
    </w:tbl>
    <w:p w:rsidR="00D8521B" w:rsidRPr="00D8521B" w:rsidRDefault="00D8521B" w:rsidP="006F6CF0">
      <w:pPr>
        <w:pStyle w:val="Styl2"/>
        <w:rPr>
          <w:rFonts w:asciiTheme="minorHAnsi" w:hAnsiTheme="minorHAnsi"/>
          <w:i/>
          <w:sz w:val="22"/>
          <w:u w:color="000000"/>
        </w:rPr>
      </w:pPr>
    </w:p>
    <w:tbl>
      <w:tblPr>
        <w:tblStyle w:val="Mkatabulky"/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5"/>
        <w:gridCol w:w="2100"/>
        <w:gridCol w:w="2466"/>
        <w:gridCol w:w="4312"/>
        <w:gridCol w:w="3397"/>
      </w:tblGrid>
      <w:tr w:rsidR="00D8521B" w:rsidRPr="005B194F" w:rsidTr="004A09AF">
        <w:trPr>
          <w:trHeight w:val="431"/>
        </w:trPr>
        <w:tc>
          <w:tcPr>
            <w:tcW w:w="3119" w:type="dxa"/>
            <w:shd w:val="clear" w:color="auto" w:fill="C2D69B" w:themeFill="accent3" w:themeFillTint="99"/>
            <w:vAlign w:val="center"/>
          </w:tcPr>
          <w:p w:rsidR="00D8521B" w:rsidRPr="004A09AF" w:rsidRDefault="00D8521B" w:rsidP="006F6CF0">
            <w:pPr>
              <w:pStyle w:val="Default"/>
              <w:jc w:val="both"/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  <w:t>Nesplněná nebo částečně splněná použitelná předběžná podmínka</w:t>
            </w:r>
          </w:p>
        </w:tc>
        <w:tc>
          <w:tcPr>
            <w:tcW w:w="2126" w:type="dxa"/>
            <w:shd w:val="clear" w:color="auto" w:fill="C2D69B" w:themeFill="accent3" w:themeFillTint="99"/>
            <w:vAlign w:val="center"/>
          </w:tcPr>
          <w:p w:rsidR="00D8521B" w:rsidRPr="004A09AF" w:rsidRDefault="00D8521B" w:rsidP="006F6CF0">
            <w:pPr>
              <w:pStyle w:val="Default"/>
              <w:jc w:val="both"/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  <w:t>Nesplněná kritéria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D8521B" w:rsidRPr="004A09AF" w:rsidRDefault="00D8521B" w:rsidP="006F6CF0">
            <w:pPr>
              <w:pStyle w:val="Default"/>
              <w:jc w:val="both"/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  <w:t>Opatření, která je nutno přijmout</w:t>
            </w:r>
          </w:p>
        </w:tc>
        <w:tc>
          <w:tcPr>
            <w:tcW w:w="4536" w:type="dxa"/>
            <w:shd w:val="clear" w:color="auto" w:fill="C2D69B" w:themeFill="accent3" w:themeFillTint="99"/>
            <w:vAlign w:val="center"/>
          </w:tcPr>
          <w:p w:rsidR="00D8521B" w:rsidRPr="004A09AF" w:rsidRDefault="00D8521B" w:rsidP="006F6CF0">
            <w:pPr>
              <w:pStyle w:val="Default"/>
              <w:jc w:val="both"/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  <w:t>Termín splnění (datum)</w:t>
            </w:r>
          </w:p>
        </w:tc>
        <w:tc>
          <w:tcPr>
            <w:tcW w:w="3544" w:type="dxa"/>
            <w:shd w:val="clear" w:color="auto" w:fill="C2D69B" w:themeFill="accent3" w:themeFillTint="99"/>
            <w:vAlign w:val="center"/>
          </w:tcPr>
          <w:p w:rsidR="00D8521B" w:rsidRPr="004A09AF" w:rsidRDefault="00D8521B" w:rsidP="006F6CF0">
            <w:pPr>
              <w:pStyle w:val="Default"/>
              <w:jc w:val="both"/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  <w:t>Orgány zodpovědné za plnění</w:t>
            </w:r>
            <w:r w:rsidR="00E269CC" w:rsidRPr="004A09AF">
              <w:rPr>
                <w:rFonts w:ascii="Cambria" w:eastAsiaTheme="minorHAnsi" w:hAnsi="Cambria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82389" w:rsidRPr="005F130B" w:rsidTr="004A09AF">
        <w:trPr>
          <w:trHeight w:val="424"/>
        </w:trPr>
        <w:tc>
          <w:tcPr>
            <w:tcW w:w="3119" w:type="dxa"/>
            <w:shd w:val="clear" w:color="auto" w:fill="EAF1DD" w:themeFill="accent3" w:themeFillTint="33"/>
            <w:vAlign w:val="center"/>
          </w:tcPr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6.1. Vodní hospodářství: existence a) politiky stanovo</w:t>
            </w:r>
            <w:r w:rsidR="00317452"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vení</w:t>
            </w: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 poplatků za vodu, která vhodným způsobem podněcuje uživatele k účinnému využívání vodních zdrojů, a b) odpovídajícího podílu různých způsobů využívání vody </w:t>
            </w:r>
            <w:r w:rsidR="00317452"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k</w:t>
            </w: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 úhradě nákladů na vodohospodářské služby v sazbě stanovené ve schváleném plánu povodí pro investice podporované příslušnými programy.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A4228F" w:rsidRPr="004A09AF" w:rsidRDefault="00A4228F" w:rsidP="00A4228F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V odvětvích podporovaných z prostředků EZFRV, EFRR a Fondu soudržnosti členský stát zajistil, aby se na úhradě nákladů na vodohospodářské služby podílely různé způsoby využívání vody v členění podle odvětví, v souladu s čl. 9 odst. 1 první odrážkou směrnice 2000/60/ES, případně s ohledem na sociální dopad, dopad na životní prostředí a hospodářský dopad takové úhrady, jakož i zeměpisné a klimatické podmínky dotčeného regionu či regionů. </w:t>
            </w:r>
          </w:p>
          <w:p w:rsidR="00A4228F" w:rsidRPr="004A09AF" w:rsidRDefault="00A4228F" w:rsidP="00A4228F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Cs/>
              </w:rPr>
            </w:pPr>
          </w:p>
          <w:p w:rsidR="00382389" w:rsidRPr="004A09AF" w:rsidRDefault="00382389" w:rsidP="00A4228F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4D38AB" w:rsidRDefault="00EF74CA" w:rsidP="004D38AB">
            <w:pPr>
              <w:rPr>
                <w:rFonts w:asciiTheme="majorHAnsi" w:hAnsiTheme="majorHAnsi" w:cs="Arial"/>
              </w:rPr>
            </w:pPr>
            <w:r w:rsidRPr="004D38AB">
              <w:rPr>
                <w:rFonts w:asciiTheme="majorHAnsi" w:hAnsiTheme="majorHAnsi" w:cs="Arial"/>
              </w:rPr>
              <w:lastRenderedPageBreak/>
              <w:t>Pro</w:t>
            </w:r>
            <w:r w:rsidR="00A872F9" w:rsidRPr="004D38AB">
              <w:rPr>
                <w:rFonts w:asciiTheme="majorHAnsi" w:hAnsiTheme="majorHAnsi" w:cs="Arial"/>
              </w:rPr>
              <w:t>vedená ekonomická analýza by měla směrovat k:</w:t>
            </w:r>
          </w:p>
          <w:p w:rsidR="00A872F9" w:rsidRPr="00C85F41" w:rsidRDefault="00A872F9" w:rsidP="004D38AB">
            <w:pPr>
              <w:pStyle w:val="Odstavecseseznamem"/>
              <w:numPr>
                <w:ilvl w:val="0"/>
                <w:numId w:val="16"/>
              </w:numPr>
              <w:rPr>
                <w:rFonts w:ascii="Cambria" w:hAnsi="Cambria" w:cs="Helv"/>
                <w:color w:val="000000"/>
              </w:rPr>
            </w:pPr>
            <w:r w:rsidRPr="004D38AB">
              <w:rPr>
                <w:rFonts w:asciiTheme="majorHAnsi" w:hAnsiTheme="majorHAnsi" w:cs="Arial"/>
              </w:rPr>
              <w:t>i</w:t>
            </w:r>
            <w:r w:rsidR="00EF74CA" w:rsidRPr="004D38AB">
              <w:rPr>
                <w:rFonts w:asciiTheme="majorHAnsi" w:hAnsiTheme="majorHAnsi" w:cs="Arial"/>
              </w:rPr>
              <w:t>mplem</w:t>
            </w:r>
            <w:r w:rsidRPr="004D38AB">
              <w:rPr>
                <w:rFonts w:asciiTheme="majorHAnsi" w:hAnsiTheme="majorHAnsi" w:cs="Arial"/>
              </w:rPr>
              <w:t>entaci širší definice</w:t>
            </w:r>
            <w:r w:rsidR="00EF74CA" w:rsidRPr="004D38AB">
              <w:rPr>
                <w:rFonts w:asciiTheme="majorHAnsi" w:hAnsiTheme="majorHAnsi" w:cs="Arial"/>
              </w:rPr>
              <w:t xml:space="preserve"> pro vodohospodářské služby a zahrnout ji do ekonomické analýzy a do úhrad nákladů, s ohledem na potenciální křížové subvencování, které by mohlo narušit cenovou politiku v sektorech, které jsou hrazeny z EFRR/FS</w:t>
            </w:r>
          </w:p>
          <w:p w:rsidR="00C85F41" w:rsidRPr="004D38AB" w:rsidRDefault="00C85F41" w:rsidP="00C85F41">
            <w:pPr>
              <w:pStyle w:val="Odstavecseseznamem"/>
              <w:rPr>
                <w:rFonts w:ascii="Cambria" w:hAnsi="Cambria" w:cs="Helv"/>
                <w:color w:val="000000"/>
              </w:rPr>
            </w:pPr>
          </w:p>
          <w:p w:rsidR="00A872F9" w:rsidRPr="004D38AB" w:rsidRDefault="00A872F9" w:rsidP="004D38AB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both"/>
              <w:rPr>
                <w:rFonts w:ascii="Cambria" w:hAnsi="Cambria" w:cs="Helv"/>
                <w:color w:val="000000"/>
              </w:rPr>
            </w:pPr>
            <w:r w:rsidRPr="004D38AB">
              <w:rPr>
                <w:rFonts w:asciiTheme="majorHAnsi" w:hAnsiTheme="majorHAnsi" w:cs="Arial"/>
              </w:rPr>
              <w:t xml:space="preserve">spočítat a zahrnout do úhrad nákladů environmentální </w:t>
            </w:r>
            <w:r w:rsidRPr="004D38AB">
              <w:rPr>
                <w:rFonts w:asciiTheme="majorHAnsi" w:hAnsiTheme="majorHAnsi" w:cs="Arial"/>
              </w:rPr>
              <w:lastRenderedPageBreak/>
              <w:t>náklady a náklady na využívané zdroje, ale i náklady generované bodovými zdroji</w:t>
            </w:r>
            <w:r w:rsidR="00670805" w:rsidRPr="004D38AB">
              <w:rPr>
                <w:rFonts w:asciiTheme="majorHAnsi" w:hAnsiTheme="majorHAnsi" w:cs="Arial"/>
              </w:rPr>
              <w:t xml:space="preserve"> a </w:t>
            </w:r>
            <w:r w:rsidR="00A60341" w:rsidRPr="004D38AB">
              <w:rPr>
                <w:rFonts w:asciiTheme="majorHAnsi" w:hAnsiTheme="majorHAnsi" w:cs="Arial"/>
              </w:rPr>
              <w:t xml:space="preserve">také </w:t>
            </w:r>
            <w:r w:rsidR="00670805" w:rsidRPr="004D38AB">
              <w:rPr>
                <w:rFonts w:asciiTheme="majorHAnsi" w:hAnsiTheme="majorHAnsi" w:cs="Arial"/>
              </w:rPr>
              <w:t>difuzními a plošnými zdroji</w:t>
            </w:r>
            <w:r w:rsidRPr="004D38AB">
              <w:rPr>
                <w:rFonts w:asciiTheme="majorHAnsi" w:hAnsiTheme="majorHAnsi" w:cs="Arial"/>
              </w:rPr>
              <w:t xml:space="preserve">.  </w:t>
            </w:r>
          </w:p>
          <w:p w:rsidR="00382389" w:rsidRPr="004A09AF" w:rsidRDefault="00382389" w:rsidP="004D38AB">
            <w:pPr>
              <w:rPr>
                <w:rFonts w:ascii="Cambria" w:hAnsi="Cambria"/>
              </w:rPr>
            </w:pPr>
          </w:p>
        </w:tc>
        <w:tc>
          <w:tcPr>
            <w:tcW w:w="4536" w:type="dxa"/>
            <w:shd w:val="clear" w:color="auto" w:fill="EAF1DD" w:themeFill="accent3" w:themeFillTint="33"/>
            <w:vAlign w:val="center"/>
          </w:tcPr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lastRenderedPageBreak/>
              <w:t>31. 12. 2016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382389" w:rsidRPr="004A09AF" w:rsidRDefault="00382389" w:rsidP="00222548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>MŽP, MZe, MF</w:t>
            </w:r>
          </w:p>
        </w:tc>
      </w:tr>
      <w:tr w:rsidR="00382389" w:rsidRPr="005F130B" w:rsidTr="004A09AF">
        <w:trPr>
          <w:trHeight w:val="416"/>
        </w:trPr>
        <w:tc>
          <w:tcPr>
            <w:tcW w:w="3119" w:type="dxa"/>
            <w:shd w:val="clear" w:color="auto" w:fill="EAF1DD" w:themeFill="accent3" w:themeFillTint="33"/>
            <w:vAlign w:val="center"/>
          </w:tcPr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6.1. Vodní hospodářství: existence a) politiky stanovov</w:t>
            </w:r>
            <w:r w:rsidR="00317452"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ení</w:t>
            </w: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 poplatků za vodu, která vhodným způsobem podněcuje uživatele k účinnému využívání vodních zdrojů, a b) odpovídajícího podílu různých způsobů využívání vody </w:t>
            </w:r>
            <w:r w:rsidR="00317452"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>k</w:t>
            </w:r>
            <w:r w:rsidRPr="004A09AF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 úhradě nákladů na vodohospodářské služby v sazbě stanovené ve schváleném plánu povodí pro investice podporované příslušnými programy.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:rsidR="00A4228F" w:rsidRPr="004A09AF" w:rsidRDefault="00A4228F" w:rsidP="00A4228F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Přijetí plánu povodí pro oblasti povodí v souladu s článkem 13 směrnice </w:t>
            </w:r>
            <w:r w:rsidR="00A545CA" w:rsidRPr="004A09AF">
              <w:rPr>
                <w:rFonts w:ascii="Cambria" w:hAnsi="Cambria"/>
                <w:sz w:val="20"/>
                <w:szCs w:val="20"/>
              </w:rPr>
              <w:t>200</w:t>
            </w:r>
            <w:r w:rsidR="00A545CA">
              <w:rPr>
                <w:rFonts w:ascii="Cambria" w:hAnsi="Cambria"/>
                <w:sz w:val="20"/>
                <w:szCs w:val="20"/>
              </w:rPr>
              <w:t>0</w:t>
            </w:r>
            <w:r w:rsidRPr="004A09AF">
              <w:rPr>
                <w:rFonts w:ascii="Cambria" w:hAnsi="Cambria"/>
                <w:sz w:val="20"/>
                <w:szCs w:val="20"/>
              </w:rPr>
              <w:t xml:space="preserve">/60/ES. </w:t>
            </w:r>
          </w:p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382389" w:rsidRPr="004A09AF" w:rsidRDefault="00382389" w:rsidP="006F6CF0">
            <w:pPr>
              <w:pStyle w:val="DAVA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>Schválení aktualizovaných plánů povodí v souladu s Rámcovou směrnicí o vodách 200</w:t>
            </w:r>
            <w:r w:rsidR="00A545CA">
              <w:rPr>
                <w:rFonts w:ascii="Cambria" w:hAnsi="Cambria"/>
                <w:sz w:val="20"/>
                <w:szCs w:val="20"/>
              </w:rPr>
              <w:t>0</w:t>
            </w:r>
            <w:r w:rsidRPr="004A09AF">
              <w:rPr>
                <w:rFonts w:ascii="Cambria" w:hAnsi="Cambria"/>
                <w:sz w:val="20"/>
                <w:szCs w:val="20"/>
              </w:rPr>
              <w:t>/60/ES.</w:t>
            </w:r>
            <w:r w:rsidR="002066D3">
              <w:rPr>
                <w:rFonts w:ascii="Cambria" w:hAnsi="Cambria"/>
                <w:sz w:val="20"/>
                <w:szCs w:val="20"/>
              </w:rPr>
              <w:t xml:space="preserve"> Součástí aktualizovaných plánů povodí bude i aktualizovaná ekonomická analýza, která vzhledem  k prioritám OPŽP bude obsahovat analýzu návratnosti nákladů na vodohospodářské služby v podporovaných oblastech.</w:t>
            </w:r>
          </w:p>
          <w:p w:rsidR="00382389" w:rsidRPr="004A09AF" w:rsidRDefault="00382389" w:rsidP="006F6CF0">
            <w:pPr>
              <w:pStyle w:val="DAVA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>Schválení plánů pro zvládání povodňových rizik v souladu s</w:t>
            </w:r>
            <w:r w:rsidR="009366BC" w:rsidRPr="004A09AF">
              <w:rPr>
                <w:rFonts w:ascii="Cambria" w:hAnsi="Cambria"/>
                <w:sz w:val="20"/>
                <w:szCs w:val="20"/>
              </w:rPr>
              <w:t>e</w:t>
            </w:r>
            <w:r w:rsidRPr="004A09AF">
              <w:rPr>
                <w:rFonts w:ascii="Cambria" w:hAnsi="Cambria"/>
                <w:sz w:val="20"/>
                <w:szCs w:val="20"/>
              </w:rPr>
              <w:t xml:space="preserve"> Směrnic</w:t>
            </w:r>
            <w:r w:rsidR="009366BC" w:rsidRPr="004A09AF">
              <w:rPr>
                <w:rFonts w:ascii="Cambria" w:hAnsi="Cambria"/>
                <w:sz w:val="20"/>
                <w:szCs w:val="20"/>
              </w:rPr>
              <w:t>í</w:t>
            </w:r>
            <w:r w:rsidRPr="004A09AF">
              <w:rPr>
                <w:rFonts w:ascii="Cambria" w:hAnsi="Cambria"/>
                <w:sz w:val="20"/>
                <w:szCs w:val="20"/>
              </w:rPr>
              <w:t xml:space="preserve"> 2007/60/ES o vyhodnocování a zvládání</w:t>
            </w:r>
          </w:p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>povodňových rizik.</w:t>
            </w:r>
          </w:p>
        </w:tc>
        <w:tc>
          <w:tcPr>
            <w:tcW w:w="4536" w:type="dxa"/>
            <w:shd w:val="clear" w:color="auto" w:fill="EAF1DD" w:themeFill="accent3" w:themeFillTint="33"/>
            <w:vAlign w:val="center"/>
          </w:tcPr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>Termíny vyplývají ze Směrnic EK.</w:t>
            </w:r>
          </w:p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</w:p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V současné době průběžně plněno, konečný termín plnění 22. 12. 2015. </w:t>
            </w:r>
          </w:p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  <w:p w:rsidR="00382389" w:rsidRPr="004A09AF" w:rsidRDefault="00382389" w:rsidP="006F6CF0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Zpracování zprávy a předání EK do 22. 3. 2016.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382389" w:rsidRPr="004A09AF" w:rsidRDefault="00382389" w:rsidP="00222548">
            <w:pPr>
              <w:pStyle w:val="DAVA"/>
              <w:spacing w:before="0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>MŽP, MZe</w:t>
            </w:r>
          </w:p>
        </w:tc>
      </w:tr>
    </w:tbl>
    <w:p w:rsidR="00E269CC" w:rsidRDefault="00E269CC" w:rsidP="006F6CF0">
      <w:pPr>
        <w:pStyle w:val="Nadpis2"/>
        <w:ind w:left="720"/>
        <w:jc w:val="both"/>
      </w:pPr>
    </w:p>
    <w:p w:rsidR="00E269CC" w:rsidRPr="00E269CC" w:rsidRDefault="00E269CC" w:rsidP="006F6CF0">
      <w:pPr>
        <w:jc w:val="both"/>
      </w:pPr>
    </w:p>
    <w:p w:rsidR="00D8521B" w:rsidRPr="005A6568" w:rsidRDefault="00D8521B" w:rsidP="006F6CF0">
      <w:pPr>
        <w:jc w:val="both"/>
        <w:rPr>
          <w:i/>
        </w:rPr>
      </w:pPr>
    </w:p>
    <w:p w:rsidR="00E269CC" w:rsidRDefault="00E269CC" w:rsidP="006F6CF0">
      <w:pPr>
        <w:jc w:val="both"/>
      </w:pPr>
    </w:p>
    <w:tbl>
      <w:tblPr>
        <w:tblStyle w:val="Mkatabulky"/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5387"/>
        <w:gridCol w:w="3544"/>
      </w:tblGrid>
      <w:tr w:rsidR="00E269CC" w:rsidRPr="00CE113C" w:rsidTr="004A09AF">
        <w:trPr>
          <w:trHeight w:val="431"/>
        </w:trPr>
        <w:tc>
          <w:tcPr>
            <w:tcW w:w="3119" w:type="dxa"/>
            <w:shd w:val="clear" w:color="auto" w:fill="C2D69B" w:themeFill="accent3" w:themeFillTint="99"/>
            <w:vAlign w:val="center"/>
          </w:tcPr>
          <w:p w:rsidR="00E269CC" w:rsidRPr="004A09AF" w:rsidRDefault="00E269CC" w:rsidP="006F6CF0">
            <w:pPr>
              <w:pStyle w:val="Default"/>
              <w:jc w:val="both"/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  <w:t>Kritéria</w:t>
            </w: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:rsidR="00E269CC" w:rsidRPr="004A09AF" w:rsidRDefault="00E269CC" w:rsidP="006F6CF0">
            <w:pPr>
              <w:pStyle w:val="Default"/>
              <w:jc w:val="both"/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  <w:t>Assessment grids</w:t>
            </w:r>
          </w:p>
        </w:tc>
        <w:tc>
          <w:tcPr>
            <w:tcW w:w="5387" w:type="dxa"/>
            <w:shd w:val="clear" w:color="auto" w:fill="C2D69B" w:themeFill="accent3" w:themeFillTint="99"/>
            <w:vAlign w:val="center"/>
          </w:tcPr>
          <w:p w:rsidR="00E269CC" w:rsidRPr="004A09AF" w:rsidRDefault="00E269CC" w:rsidP="006F6CF0">
            <w:pPr>
              <w:pStyle w:val="Default"/>
              <w:jc w:val="both"/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  <w:t>Opatření</w:t>
            </w:r>
          </w:p>
        </w:tc>
        <w:tc>
          <w:tcPr>
            <w:tcW w:w="3544" w:type="dxa"/>
            <w:shd w:val="clear" w:color="auto" w:fill="C2D69B" w:themeFill="accent3" w:themeFillTint="99"/>
            <w:vAlign w:val="center"/>
          </w:tcPr>
          <w:p w:rsidR="00E269CC" w:rsidRPr="004A09AF" w:rsidRDefault="00E269CC" w:rsidP="006F6CF0">
            <w:pPr>
              <w:pStyle w:val="Default"/>
              <w:jc w:val="both"/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</w:pPr>
            <w:r w:rsidRPr="004A09AF">
              <w:rPr>
                <w:rFonts w:ascii="Cambria" w:eastAsiaTheme="minorHAnsi" w:hAnsi="Cambria" w:cstheme="minorHAnsi"/>
                <w:b/>
                <w:bCs/>
                <w:sz w:val="20"/>
                <w:szCs w:val="20"/>
                <w:lang w:eastAsia="en-US"/>
              </w:rPr>
              <w:t>Termín splnění (datum)</w:t>
            </w:r>
          </w:p>
        </w:tc>
      </w:tr>
      <w:tr w:rsidR="00CE113C" w:rsidRPr="00CE113C" w:rsidTr="004A09AF">
        <w:trPr>
          <w:trHeight w:val="424"/>
        </w:trPr>
        <w:tc>
          <w:tcPr>
            <w:tcW w:w="3119" w:type="dxa"/>
            <w:vMerge w:val="restart"/>
            <w:shd w:val="clear" w:color="auto" w:fill="EAF1DD" w:themeFill="accent3" w:themeFillTint="33"/>
            <w:vAlign w:val="center"/>
          </w:tcPr>
          <w:p w:rsidR="00A4228F" w:rsidRPr="004A09AF" w:rsidRDefault="00A4228F" w:rsidP="00A4228F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t xml:space="preserve">V odvětvích podporovaných z prostředků EZFRV, EFRR a Fondu soudržnosti členský stát zajistil, aby se na úhradě nákladů na vodohospodářské služby podílely různé způsoby využívání vody v členění podle odvětví, v souladu s čl. 9 odst. 1 první odrážkou směrnice 2000/60/ES, případně s ohledem na sociální dopad, dopad na životní prostředí a hospodářský dopad takové úhrady, jakož i zeměpisné a klimatické podmínky dotčeného regionu či regionů. </w:t>
            </w:r>
          </w:p>
          <w:p w:rsidR="00A4228F" w:rsidRPr="004A09AF" w:rsidRDefault="00A4228F" w:rsidP="00A4228F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Cs/>
              </w:rPr>
            </w:pPr>
          </w:p>
          <w:p w:rsidR="00CE113C" w:rsidRPr="004A09AF" w:rsidRDefault="00CE113C" w:rsidP="00E2646A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CE113C" w:rsidRPr="004A09AF" w:rsidRDefault="00AB2699" w:rsidP="00222548">
            <w:pPr>
              <w:jc w:val="both"/>
              <w:rPr>
                <w:rFonts w:ascii="Cambria" w:hAnsi="Cambria"/>
              </w:rPr>
            </w:pPr>
            <w:r w:rsidRPr="004A09AF">
              <w:rPr>
                <w:rFonts w:ascii="Cambria" w:hAnsi="Cambria" w:cstheme="minorHAnsi"/>
              </w:rPr>
              <w:t>Členské státy provedly ekonomickou analýzu popsanou v příloze III Směrnice 2000/60/ES. Tato analýza by měla stanovit přínos všech tří sektorů (domácnosti, zemědělství a průmysl) k návratnosti nákladů na vodohospodářské služby, s přihlédnutím k potenciálu křížového subvencování.</w:t>
            </w:r>
          </w:p>
        </w:tc>
        <w:tc>
          <w:tcPr>
            <w:tcW w:w="5387" w:type="dxa"/>
            <w:shd w:val="clear" w:color="auto" w:fill="EAF1DD" w:themeFill="accent3" w:themeFillTint="33"/>
            <w:vAlign w:val="center"/>
          </w:tcPr>
          <w:p w:rsidR="00307AD1" w:rsidRPr="004A09AF" w:rsidRDefault="006F5F3F" w:rsidP="006F6CF0">
            <w:pPr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Česká republika provedla analýzu  </w:t>
            </w:r>
            <w:r w:rsidR="009D1779" w:rsidRPr="004A09AF">
              <w:rPr>
                <w:rFonts w:ascii="Cambria" w:hAnsi="Cambria" w:cstheme="minorHAnsi"/>
              </w:rPr>
              <w:t>dle</w:t>
            </w:r>
            <w:r w:rsidRPr="004A09AF">
              <w:rPr>
                <w:rFonts w:ascii="Cambria" w:hAnsi="Cambria" w:cstheme="minorHAnsi"/>
              </w:rPr>
              <w:t> přílo</w:t>
            </w:r>
            <w:r w:rsidR="009D1779" w:rsidRPr="004A09AF">
              <w:rPr>
                <w:rFonts w:ascii="Cambria" w:hAnsi="Cambria" w:cstheme="minorHAnsi"/>
              </w:rPr>
              <w:t>hy</w:t>
            </w:r>
            <w:r w:rsidRPr="004A09AF">
              <w:rPr>
                <w:rFonts w:ascii="Cambria" w:hAnsi="Cambria" w:cstheme="minorHAnsi"/>
              </w:rPr>
              <w:t xml:space="preserve"> III Směrnice 200/60/ES v rámci prvního plánovacího období. </w:t>
            </w:r>
          </w:p>
          <w:p w:rsidR="00307AD1" w:rsidRPr="004A09AF" w:rsidRDefault="006F5F3F" w:rsidP="004D38AB">
            <w:pPr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</w:pPr>
            <w:r w:rsidRPr="004A09AF">
              <w:rPr>
                <w:rFonts w:ascii="Cambria" w:hAnsi="Cambria" w:cstheme="minorHAnsi"/>
              </w:rPr>
              <w:t>Ekonomická analýza bude součástí i aktualizovaných plánů povodí pro 2. plánovací období</w:t>
            </w:r>
            <w:r w:rsidR="00220349" w:rsidRPr="004A09AF">
              <w:rPr>
                <w:rFonts w:ascii="Cambria" w:hAnsi="Cambria" w:cstheme="minorHAnsi"/>
              </w:rPr>
              <w:t xml:space="preserve">. Návrh kapitoly ekonomická analýza </w:t>
            </w:r>
            <w:r w:rsidR="00A95671">
              <w:rPr>
                <w:rFonts w:ascii="Cambria" w:hAnsi="Cambria" w:cstheme="minorHAnsi"/>
              </w:rPr>
              <w:t xml:space="preserve">je </w:t>
            </w:r>
            <w:r w:rsidR="00220349" w:rsidRPr="004A09AF">
              <w:rPr>
                <w:rFonts w:ascii="Cambria" w:hAnsi="Cambria" w:cstheme="minorHAnsi"/>
              </w:rPr>
              <w:t>součástí draftu zveřejněn</w:t>
            </w:r>
            <w:r w:rsidR="00A95671">
              <w:rPr>
                <w:rFonts w:ascii="Cambria" w:hAnsi="Cambria" w:cstheme="minorHAnsi"/>
              </w:rPr>
              <w:t>ých</w:t>
            </w:r>
            <w:r w:rsidR="00220349" w:rsidRPr="004A09AF">
              <w:rPr>
                <w:rFonts w:ascii="Cambria" w:hAnsi="Cambria" w:cstheme="minorHAnsi"/>
              </w:rPr>
              <w:t xml:space="preserve"> plánů povodí k připomínkám veřejnosti</w:t>
            </w:r>
            <w:r w:rsidR="00A95671">
              <w:rPr>
                <w:rFonts w:ascii="Cambria" w:hAnsi="Cambria" w:cstheme="minorHAnsi"/>
              </w:rPr>
              <w:t>.</w:t>
            </w:r>
            <w:r w:rsidR="00220349" w:rsidRPr="004A09AF">
              <w:rPr>
                <w:rFonts w:ascii="Cambria" w:hAnsi="Cambria" w:cstheme="minorHAnsi"/>
              </w:rPr>
              <w:t xml:space="preserve"> </w:t>
            </w:r>
            <w:r w:rsidR="00A95671">
              <w:rPr>
                <w:rFonts w:ascii="Cambria" w:hAnsi="Cambria" w:cstheme="minorHAnsi"/>
              </w:rPr>
              <w:t xml:space="preserve">zveřejnění běží od </w:t>
            </w:r>
            <w:r w:rsidR="00A95671" w:rsidRPr="004A09AF">
              <w:rPr>
                <w:rFonts w:ascii="Cambria" w:hAnsi="Cambria" w:cstheme="minorHAnsi"/>
              </w:rPr>
              <w:t>22.12.2014</w:t>
            </w:r>
            <w:r w:rsidR="00A95671">
              <w:rPr>
                <w:rFonts w:ascii="Cambria" w:hAnsi="Cambria" w:cstheme="minorHAnsi"/>
              </w:rPr>
              <w:t xml:space="preserve"> po dobu 6 měsíců ( tj. do 22.6.2015)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307AD1" w:rsidRPr="004A09AF" w:rsidRDefault="006F5F3F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22.12.201</w:t>
            </w:r>
            <w:r w:rsidR="005B290E" w:rsidRPr="004A09AF">
              <w:rPr>
                <w:rFonts w:ascii="Cambria" w:hAnsi="Cambria" w:cstheme="minorHAnsi"/>
                <w:sz w:val="20"/>
                <w:szCs w:val="20"/>
              </w:rPr>
              <w:t>5 resp. reporting pro EK 22.03.2016</w:t>
            </w:r>
          </w:p>
        </w:tc>
      </w:tr>
      <w:tr w:rsidR="00CE113C" w:rsidRPr="00CE113C" w:rsidTr="004A09AF">
        <w:trPr>
          <w:trHeight w:val="424"/>
        </w:trPr>
        <w:tc>
          <w:tcPr>
            <w:tcW w:w="3119" w:type="dxa"/>
            <w:vMerge/>
            <w:shd w:val="clear" w:color="auto" w:fill="EAF1DD" w:themeFill="accent3" w:themeFillTint="33"/>
            <w:vAlign w:val="center"/>
          </w:tcPr>
          <w:p w:rsidR="00CE113C" w:rsidRPr="004A09AF" w:rsidRDefault="00CE113C" w:rsidP="006F6CF0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132388" w:rsidRPr="004A09AF" w:rsidRDefault="00DA676B" w:rsidP="006F6CF0">
            <w:p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Cenová politika ve vztahu k vodě</w:t>
            </w:r>
            <w:r w:rsidR="00132388" w:rsidRPr="004A09AF">
              <w:rPr>
                <w:rFonts w:ascii="Cambria" w:hAnsi="Cambria" w:cstheme="minorHAnsi"/>
                <w:bCs/>
              </w:rPr>
              <w:t xml:space="preserve">, jak to vyžaduje čl. 9 odst. 1 Směrnice 2000/60/ES je na místě. </w:t>
            </w:r>
          </w:p>
          <w:p w:rsidR="00132388" w:rsidRPr="004A09AF" w:rsidRDefault="00132388" w:rsidP="006F6CF0">
            <w:p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Tato politika by měla brát v úvahu:</w:t>
            </w:r>
          </w:p>
          <w:p w:rsidR="00132388" w:rsidRPr="004A09AF" w:rsidRDefault="00132388" w:rsidP="006F6CF0">
            <w:pPr>
              <w:pStyle w:val="Odstavecseseznamem"/>
              <w:numPr>
                <w:ilvl w:val="0"/>
                <w:numId w:val="10"/>
              </w:num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celkové ekonomické analýzy (viz výše);</w:t>
            </w:r>
          </w:p>
          <w:p w:rsidR="00132388" w:rsidRPr="004A09AF" w:rsidRDefault="00132388" w:rsidP="006F6CF0">
            <w:pPr>
              <w:pStyle w:val="Odstavecseseznamem"/>
              <w:numPr>
                <w:ilvl w:val="0"/>
                <w:numId w:val="10"/>
              </w:num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zásadu návratnosti nákladů a v odvětvích podporovaných ERDF a FS odpovídající příspěvek z různých způsobů využívání vody k nákladům na vodohospodářské služby v poměru stanoveném ve schváleném plánu povodí pro investice podporované těmito programy;</w:t>
            </w:r>
          </w:p>
          <w:p w:rsidR="00CE113C" w:rsidRPr="004A09AF" w:rsidRDefault="00205FDE" w:rsidP="006F6CF0">
            <w:pPr>
              <w:pStyle w:val="Odstavecseseznamem"/>
              <w:numPr>
                <w:ilvl w:val="0"/>
                <w:numId w:val="10"/>
              </w:num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 xml:space="preserve">kde je to vhodné </w:t>
            </w:r>
            <w:r w:rsidR="00132388" w:rsidRPr="004A09AF">
              <w:rPr>
                <w:rFonts w:ascii="Cambria" w:hAnsi="Cambria" w:cstheme="minorHAnsi"/>
                <w:bCs/>
              </w:rPr>
              <w:t>sociální, environmentální a ekonomické dopady návratnosti nákladů na vodohospodářské služby, jakož i geografick</w:t>
            </w:r>
            <w:r w:rsidRPr="004A09AF">
              <w:rPr>
                <w:rFonts w:ascii="Cambria" w:hAnsi="Cambria" w:cstheme="minorHAnsi"/>
                <w:bCs/>
              </w:rPr>
              <w:t>é</w:t>
            </w:r>
            <w:r w:rsidR="00132388" w:rsidRPr="004A09AF">
              <w:rPr>
                <w:rFonts w:ascii="Cambria" w:hAnsi="Cambria" w:cstheme="minorHAnsi"/>
                <w:bCs/>
              </w:rPr>
              <w:t xml:space="preserve"> a klimatick</w:t>
            </w:r>
            <w:r w:rsidRPr="004A09AF">
              <w:rPr>
                <w:rFonts w:ascii="Cambria" w:hAnsi="Cambria" w:cstheme="minorHAnsi"/>
                <w:bCs/>
              </w:rPr>
              <w:t>é</w:t>
            </w:r>
            <w:r w:rsidR="00132388" w:rsidRPr="004A09AF">
              <w:rPr>
                <w:rFonts w:ascii="Cambria" w:hAnsi="Cambria" w:cstheme="minorHAnsi"/>
                <w:bCs/>
              </w:rPr>
              <w:t xml:space="preserve"> podmínk</w:t>
            </w:r>
            <w:r w:rsidRPr="004A09AF">
              <w:rPr>
                <w:rFonts w:ascii="Cambria" w:hAnsi="Cambria" w:cstheme="minorHAnsi"/>
                <w:bCs/>
              </w:rPr>
              <w:t>y</w:t>
            </w:r>
            <w:r w:rsidR="00132388" w:rsidRPr="004A09AF">
              <w:rPr>
                <w:rFonts w:ascii="Cambria" w:hAnsi="Cambria" w:cstheme="minorHAnsi"/>
                <w:bCs/>
              </w:rPr>
              <w:t xml:space="preserve"> </w:t>
            </w:r>
            <w:r w:rsidRPr="004A09AF">
              <w:rPr>
                <w:rFonts w:ascii="Cambria" w:hAnsi="Cambria" w:cstheme="minorHAnsi"/>
                <w:bCs/>
              </w:rPr>
              <w:t xml:space="preserve">postiženého </w:t>
            </w:r>
            <w:r w:rsidR="00132388" w:rsidRPr="004A09AF">
              <w:rPr>
                <w:rFonts w:ascii="Cambria" w:hAnsi="Cambria" w:cstheme="minorHAnsi"/>
                <w:bCs/>
              </w:rPr>
              <w:t>regionu nebo</w:t>
            </w:r>
            <w:r w:rsidRPr="004A09AF">
              <w:rPr>
                <w:rFonts w:ascii="Cambria" w:hAnsi="Cambria" w:cstheme="minorHAnsi"/>
                <w:bCs/>
              </w:rPr>
              <w:t xml:space="preserve"> </w:t>
            </w:r>
            <w:r w:rsidR="00132388" w:rsidRPr="004A09AF">
              <w:rPr>
                <w:rFonts w:ascii="Cambria" w:hAnsi="Cambria" w:cstheme="minorHAnsi"/>
                <w:bCs/>
              </w:rPr>
              <w:t xml:space="preserve">regionů; </w:t>
            </w:r>
            <w:r w:rsidRPr="004A09AF">
              <w:rPr>
                <w:rFonts w:ascii="Cambria" w:hAnsi="Cambria" w:cstheme="minorHAnsi"/>
                <w:bCs/>
              </w:rPr>
              <w:t xml:space="preserve">pravidlo </w:t>
            </w:r>
            <w:r w:rsidR="00132388" w:rsidRPr="004A09AF">
              <w:rPr>
                <w:rFonts w:ascii="Cambria" w:hAnsi="Cambria" w:cstheme="minorHAnsi"/>
                <w:bCs/>
              </w:rPr>
              <w:lastRenderedPageBreak/>
              <w:t>znečišťovatel platí.</w:t>
            </w:r>
          </w:p>
        </w:tc>
        <w:tc>
          <w:tcPr>
            <w:tcW w:w="5387" w:type="dxa"/>
            <w:shd w:val="clear" w:color="auto" w:fill="EAF1DD" w:themeFill="accent3" w:themeFillTint="33"/>
            <w:vAlign w:val="center"/>
          </w:tcPr>
          <w:p w:rsidR="007C5276" w:rsidRPr="009F7F95" w:rsidRDefault="007C5276" w:rsidP="004D38AB">
            <w:pPr>
              <w:rPr>
                <w:rFonts w:asciiTheme="majorHAnsi" w:hAnsiTheme="majorHAnsi" w:cs="Arial"/>
              </w:rPr>
            </w:pPr>
            <w:r w:rsidRPr="009F7F95">
              <w:rPr>
                <w:rFonts w:asciiTheme="majorHAnsi" w:hAnsiTheme="majorHAnsi" w:cs="Arial"/>
              </w:rPr>
              <w:lastRenderedPageBreak/>
              <w:t>Provedená ekonomická analýza by měla směrovat k:</w:t>
            </w:r>
          </w:p>
          <w:p w:rsidR="007C5276" w:rsidRPr="009F7F95" w:rsidRDefault="007C5276" w:rsidP="004D38AB">
            <w:pPr>
              <w:rPr>
                <w:rFonts w:asciiTheme="majorHAnsi" w:hAnsiTheme="majorHAnsi" w:cs="Arial"/>
              </w:rPr>
            </w:pPr>
          </w:p>
          <w:p w:rsidR="007C5276" w:rsidRPr="009F7F95" w:rsidRDefault="007C5276" w:rsidP="009F7F95">
            <w:pPr>
              <w:pStyle w:val="Odstavecseseznamem"/>
              <w:numPr>
                <w:ilvl w:val="0"/>
                <w:numId w:val="16"/>
              </w:numPr>
              <w:rPr>
                <w:rFonts w:asciiTheme="majorHAnsi" w:hAnsiTheme="majorHAnsi" w:cs="Helv"/>
                <w:color w:val="000000"/>
              </w:rPr>
            </w:pPr>
            <w:r w:rsidRPr="009F7F95">
              <w:rPr>
                <w:rFonts w:asciiTheme="majorHAnsi" w:hAnsiTheme="majorHAnsi" w:cs="Arial"/>
              </w:rPr>
              <w:t>implementaci širší definice pro vodohospodářské služby a zahrnout ji do ekonomické analýzy a do úhrad nákladů, s ohledem na potenciální křížové subvencování, které by mohlo narušit cenovou politiku v sektorech, které jsou hrazeny z EFRR/FS</w:t>
            </w:r>
          </w:p>
          <w:p w:rsidR="007C5276" w:rsidRPr="009F7F95" w:rsidRDefault="007C5276" w:rsidP="004D38AB">
            <w:pPr>
              <w:pStyle w:val="Odstavecseseznamem"/>
              <w:rPr>
                <w:rFonts w:asciiTheme="majorHAnsi" w:hAnsiTheme="majorHAnsi" w:cs="Helv"/>
                <w:color w:val="000000"/>
              </w:rPr>
            </w:pPr>
          </w:p>
          <w:p w:rsidR="00F330A4" w:rsidRPr="009F7F95" w:rsidRDefault="007C5276" w:rsidP="009F7F95">
            <w:pPr>
              <w:pStyle w:val="Odstavecseseznamem"/>
              <w:numPr>
                <w:ilvl w:val="0"/>
                <w:numId w:val="16"/>
              </w:numPr>
              <w:spacing w:before="60" w:after="60"/>
              <w:jc w:val="both"/>
              <w:rPr>
                <w:rFonts w:asciiTheme="majorHAnsi" w:hAnsiTheme="majorHAnsi" w:cs="Helv"/>
                <w:color w:val="000000"/>
              </w:rPr>
            </w:pPr>
            <w:r w:rsidRPr="009F7F95">
              <w:rPr>
                <w:rFonts w:asciiTheme="majorHAnsi" w:hAnsiTheme="majorHAnsi" w:cs="Arial"/>
              </w:rPr>
              <w:t>spočítat a zahrnout do úhrad nákladů environmentální náklady a náklady na využívané zdroje, ale i náklady generované bodovými zdroji</w:t>
            </w:r>
            <w:r w:rsidR="00F330A4" w:rsidRPr="009F7F95">
              <w:rPr>
                <w:rFonts w:asciiTheme="majorHAnsi" w:hAnsiTheme="majorHAnsi" w:cs="Arial"/>
              </w:rPr>
              <w:t xml:space="preserve"> </w:t>
            </w:r>
            <w:r w:rsidR="00FD2D35" w:rsidRPr="009F7F95">
              <w:rPr>
                <w:rFonts w:asciiTheme="majorHAnsi" w:hAnsiTheme="majorHAnsi" w:cs="Arial"/>
              </w:rPr>
              <w:t>a také</w:t>
            </w:r>
            <w:r w:rsidR="00F330A4" w:rsidRPr="009F7F95">
              <w:rPr>
                <w:rFonts w:asciiTheme="majorHAnsi" w:hAnsiTheme="majorHAnsi" w:cs="Arial"/>
              </w:rPr>
              <w:t xml:space="preserve"> difuzními a plošnými zdroji.  </w:t>
            </w:r>
          </w:p>
          <w:p w:rsidR="007C5276" w:rsidRPr="009E3D38" w:rsidRDefault="009E3D38" w:rsidP="004D38AB">
            <w:pPr>
              <w:spacing w:after="60"/>
              <w:jc w:val="both"/>
              <w:rPr>
                <w:rFonts w:ascii="Cambria" w:hAnsi="Cambria" w:cstheme="minorHAnsi"/>
                <w:bCs/>
              </w:rPr>
            </w:pPr>
            <w:r w:rsidRPr="009E3D38">
              <w:rPr>
                <w:rFonts w:asciiTheme="majorHAnsi" w:eastAsiaTheme="minorHAnsi" w:hAnsiTheme="majorHAnsi" w:cs="Arial"/>
                <w:lang w:eastAsia="en-US"/>
              </w:rPr>
              <w:t>Aktuální infor</w:t>
            </w:r>
            <w:r w:rsidRPr="009E3D38">
              <w:rPr>
                <w:rFonts w:asciiTheme="majorHAnsi" w:hAnsiTheme="majorHAnsi" w:cs="Arial"/>
              </w:rPr>
              <w:t>mace</w:t>
            </w:r>
            <w:r>
              <w:rPr>
                <w:rFonts w:asciiTheme="majorHAnsi" w:eastAsiaTheme="minorHAnsi" w:hAnsiTheme="majorHAnsi" w:cs="Arial"/>
                <w:lang w:eastAsia="en-US"/>
              </w:rPr>
              <w:t xml:space="preserve"> českých orgánů o současném stavu:</w:t>
            </w:r>
          </w:p>
          <w:p w:rsidR="00CE113C" w:rsidRPr="004A09AF" w:rsidRDefault="005B290E" w:rsidP="006F6CF0">
            <w:pPr>
              <w:pStyle w:val="DAVA"/>
              <w:spacing w:before="0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bCs/>
                <w:sz w:val="20"/>
                <w:szCs w:val="20"/>
              </w:rPr>
              <w:t xml:space="preserve">Cenová politika ve vztahu k vodě, jak to vyžaduje čl. 9 odst. 1 Směrnice 2000/60/ES je </w:t>
            </w:r>
            <w:r w:rsidR="009D1779" w:rsidRPr="004A09AF">
              <w:rPr>
                <w:rFonts w:ascii="Cambria" w:hAnsi="Cambria" w:cstheme="minorHAnsi"/>
                <w:bCs/>
                <w:sz w:val="20"/>
                <w:szCs w:val="20"/>
              </w:rPr>
              <w:t>součástí Plánů oblasti povodí</w:t>
            </w:r>
            <w:r w:rsidRPr="004A09AF">
              <w:rPr>
                <w:rFonts w:ascii="Cambria" w:hAnsi="Cambria" w:cstheme="minorHAnsi"/>
                <w:bCs/>
                <w:sz w:val="20"/>
                <w:szCs w:val="20"/>
              </w:rPr>
              <w:t xml:space="preserve"> </w:t>
            </w:r>
            <w:r w:rsidR="009D1779" w:rsidRPr="004A09AF">
              <w:rPr>
                <w:rFonts w:ascii="Cambria" w:hAnsi="Cambria" w:cstheme="minorHAnsi"/>
                <w:bCs/>
                <w:sz w:val="20"/>
                <w:szCs w:val="20"/>
              </w:rPr>
              <w:t>pro 1. plánovací období.</w:t>
            </w:r>
          </w:p>
          <w:p w:rsidR="009D1779" w:rsidRPr="004A09AF" w:rsidRDefault="009D177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Zásady celkové ekonomické analýzy jsou dodržovány, návratnost nákladů je průběžně sledována a vyhodnocována a závěry budou obsahem aktualizovaných plánů.</w:t>
            </w:r>
          </w:p>
          <w:p w:rsidR="009D1779" w:rsidRDefault="009D177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Pravidlo znečišťovatel platí je dodržováno.</w:t>
            </w:r>
          </w:p>
          <w:p w:rsidR="002066D3" w:rsidRPr="004A09AF" w:rsidRDefault="002066D3" w:rsidP="004D38AB">
            <w:pPr>
              <w:pStyle w:val="DAVA"/>
              <w:rPr>
                <w:rFonts w:ascii="Cambria" w:hAnsi="Cambria" w:cstheme="minorHAnsi"/>
                <w:sz w:val="20"/>
                <w:szCs w:val="20"/>
              </w:rPr>
            </w:pPr>
            <w:r w:rsidRPr="002066D3">
              <w:rPr>
                <w:rFonts w:ascii="Cambria" w:hAnsi="Cambria" w:cstheme="minorHAnsi"/>
                <w:sz w:val="20"/>
                <w:szCs w:val="20"/>
              </w:rPr>
              <w:t xml:space="preserve">Ekonomická analýza bude součástí i aktualizovaných plánů povodí pro 2. plánovací období. Návrh kapitoly ekonomická analýza </w:t>
            </w:r>
            <w:r w:rsidR="00A95671">
              <w:rPr>
                <w:rFonts w:ascii="Cambria" w:hAnsi="Cambria" w:cstheme="minorHAnsi"/>
                <w:sz w:val="20"/>
                <w:szCs w:val="20"/>
              </w:rPr>
              <w:t>je</w:t>
            </w:r>
            <w:r w:rsidRPr="002066D3">
              <w:rPr>
                <w:rFonts w:ascii="Cambria" w:hAnsi="Cambria" w:cstheme="minorHAnsi"/>
                <w:sz w:val="20"/>
                <w:szCs w:val="20"/>
              </w:rPr>
              <w:t>součástí draftu zveřejněn</w:t>
            </w:r>
            <w:r w:rsidR="00A95671">
              <w:rPr>
                <w:rFonts w:ascii="Cambria" w:hAnsi="Cambria" w:cstheme="minorHAnsi"/>
                <w:sz w:val="20"/>
                <w:szCs w:val="20"/>
              </w:rPr>
              <w:t>ých</w:t>
            </w:r>
            <w:r w:rsidRPr="002066D3">
              <w:rPr>
                <w:rFonts w:ascii="Cambria" w:hAnsi="Cambria" w:cstheme="minorHAnsi"/>
                <w:sz w:val="20"/>
                <w:szCs w:val="20"/>
              </w:rPr>
              <w:t xml:space="preserve"> plánů povodí k </w:t>
            </w:r>
            <w:r w:rsidRPr="002066D3">
              <w:rPr>
                <w:rFonts w:ascii="Cambria" w:hAnsi="Cambria" w:cstheme="minorHAnsi"/>
                <w:sz w:val="20"/>
                <w:szCs w:val="20"/>
              </w:rPr>
              <w:lastRenderedPageBreak/>
              <w:t>připomínkám veřejnosti</w:t>
            </w:r>
            <w:r w:rsidR="00A95671">
              <w:rPr>
                <w:rFonts w:ascii="Cambria" w:hAnsi="Cambria" w:cstheme="minorHAnsi"/>
                <w:sz w:val="20"/>
                <w:szCs w:val="20"/>
              </w:rPr>
              <w:t>.</w:t>
            </w:r>
            <w:r w:rsidRPr="002066D3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="00A95671">
              <w:rPr>
                <w:rFonts w:ascii="Cambria" w:hAnsi="Cambria" w:cstheme="minorHAnsi"/>
              </w:rPr>
              <w:t xml:space="preserve">zveřejnění běží od </w:t>
            </w:r>
            <w:r w:rsidR="00A95671" w:rsidRPr="004A09AF">
              <w:rPr>
                <w:rFonts w:ascii="Cambria" w:hAnsi="Cambria" w:cstheme="minorHAnsi"/>
              </w:rPr>
              <w:t>22.12.2014</w:t>
            </w:r>
            <w:r w:rsidR="00A95671">
              <w:rPr>
                <w:rFonts w:ascii="Cambria" w:hAnsi="Cambria" w:cstheme="minorHAnsi"/>
              </w:rPr>
              <w:t xml:space="preserve"> po dobu 6 měsíců ( tj. do 22.6.2015)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CE113C" w:rsidRPr="004A09AF" w:rsidRDefault="009D177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lastRenderedPageBreak/>
              <w:t>22.12.2015 resp. reporting pro EK 22.03.2016</w:t>
            </w:r>
          </w:p>
        </w:tc>
      </w:tr>
      <w:tr w:rsidR="00CE113C" w:rsidRPr="00A4228F" w:rsidTr="004A09AF">
        <w:trPr>
          <w:trHeight w:val="416"/>
        </w:trPr>
        <w:tc>
          <w:tcPr>
            <w:tcW w:w="3119" w:type="dxa"/>
            <w:vMerge w:val="restart"/>
            <w:shd w:val="clear" w:color="auto" w:fill="EAF1DD" w:themeFill="accent3" w:themeFillTint="33"/>
          </w:tcPr>
          <w:p w:rsidR="00A4228F" w:rsidRPr="004A09AF" w:rsidRDefault="00A4228F" w:rsidP="00A4228F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4A09AF">
              <w:rPr>
                <w:rFonts w:ascii="Cambria" w:hAnsi="Cambria"/>
                <w:sz w:val="20"/>
                <w:szCs w:val="20"/>
              </w:rPr>
              <w:lastRenderedPageBreak/>
              <w:t xml:space="preserve">Přijetí plánu povodí pro oblasti povodí v souladu s článkem 13 směrnice 2006/60/ES. </w:t>
            </w:r>
          </w:p>
          <w:p w:rsidR="00CE113C" w:rsidRPr="004A09AF" w:rsidRDefault="00CE113C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CE113C" w:rsidRPr="004A09AF" w:rsidRDefault="00C04D85" w:rsidP="006F6CF0">
            <w:p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Členský stát přijal Plány povodí zahrnující území vztahuj</w:t>
            </w:r>
            <w:r w:rsidR="00411CA4" w:rsidRPr="004A09AF">
              <w:rPr>
                <w:rFonts w:ascii="Cambria" w:hAnsi="Cambria" w:cstheme="minorHAnsi"/>
                <w:bCs/>
              </w:rPr>
              <w:t xml:space="preserve">ící se k </w:t>
            </w:r>
            <w:r w:rsidRPr="004A09AF">
              <w:rPr>
                <w:rFonts w:ascii="Cambria" w:hAnsi="Cambria" w:cstheme="minorHAnsi"/>
                <w:bCs/>
              </w:rPr>
              <w:t xml:space="preserve">OP, které obsahují </w:t>
            </w:r>
            <w:r w:rsidR="008C70C1" w:rsidRPr="004A09AF">
              <w:rPr>
                <w:rFonts w:ascii="Cambria" w:hAnsi="Cambria" w:cstheme="minorHAnsi"/>
                <w:bCs/>
              </w:rPr>
              <w:t xml:space="preserve">investiční </w:t>
            </w:r>
            <w:r w:rsidRPr="004A09AF">
              <w:rPr>
                <w:rFonts w:ascii="Cambria" w:hAnsi="Cambria" w:cstheme="minorHAnsi"/>
                <w:bCs/>
              </w:rPr>
              <w:t>priority</w:t>
            </w:r>
            <w:r w:rsidR="008C70C1" w:rsidRPr="004A09AF">
              <w:rPr>
                <w:rFonts w:ascii="Cambria" w:hAnsi="Cambria" w:cstheme="minorHAnsi"/>
                <w:bCs/>
              </w:rPr>
              <w:t xml:space="preserve"> </w:t>
            </w:r>
            <w:r w:rsidR="00176855" w:rsidRPr="004A09AF">
              <w:rPr>
                <w:rFonts w:ascii="Cambria" w:hAnsi="Cambria" w:cstheme="minorHAnsi"/>
                <w:bCs/>
              </w:rPr>
              <w:t xml:space="preserve">v oblasti </w:t>
            </w:r>
            <w:r w:rsidR="008C70C1" w:rsidRPr="004A09AF">
              <w:rPr>
                <w:rFonts w:ascii="Cambria" w:hAnsi="Cambria" w:cstheme="minorHAnsi"/>
                <w:bCs/>
              </w:rPr>
              <w:t>vody</w:t>
            </w:r>
            <w:r w:rsidR="000D4EFE" w:rsidRPr="004A09AF">
              <w:rPr>
                <w:rFonts w:ascii="Cambria" w:hAnsi="Cambria" w:cstheme="minorHAnsi"/>
                <w:bCs/>
              </w:rPr>
              <w:t>.</w:t>
            </w:r>
            <w:r w:rsidRPr="004A09AF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5387" w:type="dxa"/>
            <w:shd w:val="clear" w:color="auto" w:fill="EAF1DD" w:themeFill="accent3" w:themeFillTint="33"/>
            <w:vAlign w:val="center"/>
          </w:tcPr>
          <w:p w:rsidR="00307AD1" w:rsidRDefault="006F5F3F" w:rsidP="006F6CF0">
            <w:pPr>
              <w:jc w:val="both"/>
              <w:rPr>
                <w:rFonts w:ascii="Cambria" w:hAnsi="Cambria" w:cstheme="minorHAnsi"/>
              </w:rPr>
            </w:pPr>
            <w:r w:rsidRPr="004A09AF">
              <w:rPr>
                <w:rFonts w:ascii="Cambria" w:hAnsi="Cambria" w:cstheme="minorHAnsi"/>
              </w:rPr>
              <w:t xml:space="preserve">Česká republika přijala Plány oblastí povodí zahrnující území vztahující se k oblastem povodí, které obsahují investiční priority v oblasti vody. Plány povodí pro 2. plánovací období budou reflektovat pokrok v oblasti vody  </w:t>
            </w:r>
            <w:r w:rsidR="005B290E" w:rsidRPr="004A09AF">
              <w:rPr>
                <w:rFonts w:ascii="Cambria" w:hAnsi="Cambria" w:cstheme="minorHAnsi"/>
              </w:rPr>
              <w:t xml:space="preserve">a v rámci </w:t>
            </w:r>
            <w:r w:rsidRPr="004A09AF">
              <w:rPr>
                <w:rFonts w:ascii="Cambria" w:hAnsi="Cambria" w:cstheme="minorHAnsi"/>
              </w:rPr>
              <w:t>aktualiz</w:t>
            </w:r>
            <w:r w:rsidR="005B290E" w:rsidRPr="004A09AF">
              <w:rPr>
                <w:rFonts w:ascii="Cambria" w:hAnsi="Cambria" w:cstheme="minorHAnsi"/>
              </w:rPr>
              <w:t>ace</w:t>
            </w:r>
            <w:r w:rsidRPr="004A09AF">
              <w:rPr>
                <w:rFonts w:ascii="Cambria" w:hAnsi="Cambria" w:cstheme="minorHAnsi"/>
              </w:rPr>
              <w:t xml:space="preserve"> </w:t>
            </w:r>
            <w:r w:rsidR="00505CCA">
              <w:rPr>
                <w:rFonts w:ascii="Cambria" w:hAnsi="Cambria" w:cstheme="minorHAnsi"/>
              </w:rPr>
              <w:t xml:space="preserve">budou stanoveny </w:t>
            </w:r>
            <w:r w:rsidRPr="004A09AF">
              <w:rPr>
                <w:rFonts w:ascii="Cambria" w:hAnsi="Cambria" w:cstheme="minorHAnsi"/>
              </w:rPr>
              <w:t>investiční priority v oblasti vody</w:t>
            </w:r>
            <w:r w:rsidR="005B290E" w:rsidRPr="004A09AF">
              <w:rPr>
                <w:rFonts w:ascii="Cambria" w:hAnsi="Cambria" w:cstheme="minorHAnsi"/>
              </w:rPr>
              <w:t>.</w:t>
            </w:r>
            <w:r w:rsidRPr="004A09AF">
              <w:rPr>
                <w:rFonts w:ascii="Cambria" w:hAnsi="Cambria" w:cstheme="minorHAnsi"/>
              </w:rPr>
              <w:t xml:space="preserve"> </w:t>
            </w:r>
          </w:p>
          <w:p w:rsidR="001D2323" w:rsidRPr="004A09AF" w:rsidRDefault="001D2323" w:rsidP="001D2323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CE113C" w:rsidRPr="004A09AF" w:rsidRDefault="005B290E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22.12.2015 resp. reporting pro EK 22.03.2016</w:t>
            </w:r>
          </w:p>
        </w:tc>
      </w:tr>
      <w:tr w:rsidR="00CE113C" w:rsidRPr="00A4228F" w:rsidTr="004A09AF">
        <w:trPr>
          <w:trHeight w:val="416"/>
        </w:trPr>
        <w:tc>
          <w:tcPr>
            <w:tcW w:w="3119" w:type="dxa"/>
            <w:vMerge/>
            <w:shd w:val="clear" w:color="auto" w:fill="EAF1DD" w:themeFill="accent3" w:themeFillTint="33"/>
            <w:vAlign w:val="center"/>
          </w:tcPr>
          <w:p w:rsidR="00CE113C" w:rsidRPr="004A09AF" w:rsidRDefault="00CE113C" w:rsidP="006F6CF0">
            <w:pPr>
              <w:pStyle w:val="DAVA"/>
              <w:spacing w:before="0"/>
              <w:rPr>
                <w:rFonts w:ascii="Cambria" w:hAnsi="Cambria" w:cstheme="minorHAnsi"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8959F7" w:rsidRPr="004A09AF" w:rsidRDefault="00A25D22" w:rsidP="006F6CF0">
            <w:p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Hodnocení se zaměří na to, zda se plány náležitě zabýva</w:t>
            </w:r>
            <w:r w:rsidR="008959F7" w:rsidRPr="004A09AF">
              <w:rPr>
                <w:rFonts w:ascii="Cambria" w:hAnsi="Cambria" w:cstheme="minorHAnsi"/>
                <w:bCs/>
              </w:rPr>
              <w:t>jí</w:t>
            </w:r>
            <w:r w:rsidRPr="004A09AF">
              <w:rPr>
                <w:rFonts w:ascii="Cambria" w:hAnsi="Cambria" w:cstheme="minorHAnsi"/>
                <w:bCs/>
              </w:rPr>
              <w:t xml:space="preserve"> následujícími prvky </w:t>
            </w:r>
            <w:r w:rsidR="008959F7" w:rsidRPr="004A09AF">
              <w:rPr>
                <w:rFonts w:ascii="Cambria" w:hAnsi="Cambria" w:cstheme="minorHAnsi"/>
                <w:bCs/>
              </w:rPr>
              <w:t>vyňatými</w:t>
            </w:r>
            <w:r w:rsidRPr="004A09AF">
              <w:rPr>
                <w:rFonts w:ascii="Cambria" w:hAnsi="Cambria" w:cstheme="minorHAnsi"/>
                <w:bCs/>
              </w:rPr>
              <w:t xml:space="preserve"> z přílohy VII Směrnice</w:t>
            </w:r>
            <w:r w:rsidR="008959F7" w:rsidRPr="004A09AF">
              <w:rPr>
                <w:rFonts w:ascii="Cambria" w:hAnsi="Cambria" w:cstheme="minorHAnsi"/>
                <w:bCs/>
              </w:rPr>
              <w:t xml:space="preserve">, </w:t>
            </w:r>
            <w:r w:rsidRPr="004A09AF">
              <w:rPr>
                <w:rFonts w:ascii="Cambria" w:hAnsi="Cambria" w:cstheme="minorHAnsi"/>
                <w:bCs/>
              </w:rPr>
              <w:t>která uvádí minimální požadavky na Plány povodí. Proto</w:t>
            </w:r>
            <w:r w:rsidR="00BC03FA" w:rsidRPr="004A09AF">
              <w:rPr>
                <w:rFonts w:ascii="Cambria" w:hAnsi="Cambria" w:cstheme="minorHAnsi"/>
                <w:bCs/>
              </w:rPr>
              <w:t xml:space="preserve"> by měl být každý z P</w:t>
            </w:r>
            <w:r w:rsidRPr="004A09AF">
              <w:rPr>
                <w:rFonts w:ascii="Cambria" w:hAnsi="Cambria" w:cstheme="minorHAnsi"/>
                <w:bCs/>
              </w:rPr>
              <w:t>lánu povodí zahrnovat:</w:t>
            </w:r>
          </w:p>
          <w:p w:rsidR="001C3D28" w:rsidRPr="004A09AF" w:rsidRDefault="00BC03FA" w:rsidP="006F6CF0">
            <w:pPr>
              <w:pStyle w:val="Odstavecseseznamem"/>
              <w:numPr>
                <w:ilvl w:val="0"/>
                <w:numId w:val="11"/>
              </w:num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mapu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 monitorovacích sítí zřízen</w:t>
            </w:r>
            <w:r w:rsidRPr="004A09AF">
              <w:rPr>
                <w:rFonts w:ascii="Cambria" w:hAnsi="Cambria" w:cstheme="minorHAnsi"/>
                <w:bCs/>
              </w:rPr>
              <w:t>ou</w:t>
            </w:r>
            <w:r w:rsidR="001C3D28" w:rsidRPr="004A09AF">
              <w:rPr>
                <w:rFonts w:ascii="Cambria" w:hAnsi="Cambria" w:cstheme="minorHAnsi"/>
                <w:bCs/>
              </w:rPr>
              <w:t xml:space="preserve"> pro účely článku 8 a P</w:t>
            </w:r>
            <w:r w:rsidR="00A25D22" w:rsidRPr="004A09AF">
              <w:rPr>
                <w:rFonts w:ascii="Cambria" w:hAnsi="Cambria" w:cstheme="minorHAnsi"/>
                <w:bCs/>
              </w:rPr>
              <w:t>řílohy V a p</w:t>
            </w:r>
            <w:r w:rsidRPr="004A09AF">
              <w:rPr>
                <w:rFonts w:ascii="Cambria" w:hAnsi="Cambria" w:cstheme="minorHAnsi"/>
                <w:bCs/>
              </w:rPr>
              <w:t xml:space="preserve">rezentaci v podobě mapy znázorňující </w:t>
            </w:r>
            <w:r w:rsidR="00A25D22" w:rsidRPr="004A09AF">
              <w:rPr>
                <w:rFonts w:ascii="Cambria" w:hAnsi="Cambria" w:cstheme="minorHAnsi"/>
                <w:bCs/>
              </w:rPr>
              <w:t>výsledk</w:t>
            </w:r>
            <w:r w:rsidRPr="004A09AF">
              <w:rPr>
                <w:rFonts w:ascii="Cambria" w:hAnsi="Cambria" w:cstheme="minorHAnsi"/>
                <w:bCs/>
              </w:rPr>
              <w:t xml:space="preserve">y </w:t>
            </w:r>
            <w:r w:rsidR="00A25D22" w:rsidRPr="004A09AF">
              <w:rPr>
                <w:rFonts w:ascii="Cambria" w:hAnsi="Cambria" w:cstheme="minorHAnsi"/>
                <w:bCs/>
              </w:rPr>
              <w:t>monitorovacích programů provozovaných podle příslušných ustanovení pro stav pov</w:t>
            </w:r>
            <w:r w:rsidR="001C3D28" w:rsidRPr="004A09AF">
              <w:rPr>
                <w:rFonts w:ascii="Cambria" w:hAnsi="Cambria" w:cstheme="minorHAnsi"/>
                <w:bCs/>
              </w:rPr>
              <w:t>rchových vod (</w:t>
            </w:r>
            <w:r w:rsidR="00A25D22" w:rsidRPr="004A09AF">
              <w:rPr>
                <w:rFonts w:ascii="Cambria" w:hAnsi="Cambria" w:cstheme="minorHAnsi"/>
                <w:bCs/>
              </w:rPr>
              <w:t>ekologi</w:t>
            </w:r>
            <w:r w:rsidR="001C3D28" w:rsidRPr="004A09AF">
              <w:rPr>
                <w:rFonts w:ascii="Cambria" w:hAnsi="Cambria" w:cstheme="minorHAnsi"/>
                <w:bCs/>
              </w:rPr>
              <w:t xml:space="preserve">cký a chemický); podzemních vod </w:t>
            </w:r>
            <w:r w:rsidR="00A25D22" w:rsidRPr="004A09AF">
              <w:rPr>
                <w:rFonts w:ascii="Cambria" w:hAnsi="Cambria" w:cstheme="minorHAnsi"/>
                <w:bCs/>
              </w:rPr>
              <w:t>(</w:t>
            </w:r>
            <w:r w:rsidRPr="004A09AF">
              <w:rPr>
                <w:rFonts w:ascii="Cambria" w:hAnsi="Cambria" w:cstheme="minorHAnsi"/>
                <w:bCs/>
              </w:rPr>
              <w:t>chemický a kvantitativní</w:t>
            </w:r>
            <w:r w:rsidR="00A25D22" w:rsidRPr="004A09AF">
              <w:rPr>
                <w:rFonts w:ascii="Cambria" w:hAnsi="Cambria" w:cstheme="minorHAnsi"/>
                <w:bCs/>
              </w:rPr>
              <w:t>) a chráněn</w:t>
            </w:r>
            <w:r w:rsidRPr="004A09AF">
              <w:rPr>
                <w:rFonts w:ascii="Cambria" w:hAnsi="Cambria" w:cstheme="minorHAnsi"/>
                <w:bCs/>
              </w:rPr>
              <w:t>ých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 </w:t>
            </w:r>
            <w:r w:rsidRPr="004A09AF">
              <w:rPr>
                <w:rFonts w:ascii="Cambria" w:hAnsi="Cambria" w:cstheme="minorHAnsi"/>
                <w:bCs/>
              </w:rPr>
              <w:t>oblastí.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 Bez kontroly na místě, vodní stav není znám a žádná opatření nemohou být prováděna.</w:t>
            </w:r>
          </w:p>
          <w:p w:rsidR="001C3D28" w:rsidRPr="004A09AF" w:rsidRDefault="00BC03FA" w:rsidP="006F6CF0">
            <w:pPr>
              <w:pStyle w:val="Odstavecseseznamem"/>
              <w:numPr>
                <w:ilvl w:val="0"/>
                <w:numId w:val="11"/>
              </w:num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s</w:t>
            </w:r>
            <w:r w:rsidR="00A25D22" w:rsidRPr="004A09AF">
              <w:rPr>
                <w:rFonts w:ascii="Cambria" w:hAnsi="Cambria" w:cstheme="minorHAnsi"/>
                <w:bCs/>
              </w:rPr>
              <w:t>eznam environmentálních cílů stanovených podle článku 4 pro povrchové vody, p</w:t>
            </w:r>
            <w:r w:rsidRPr="004A09AF">
              <w:rPr>
                <w:rFonts w:ascii="Cambria" w:hAnsi="Cambria" w:cstheme="minorHAnsi"/>
                <w:bCs/>
              </w:rPr>
              <w:t>odzemní vody a chráněné oblasti</w:t>
            </w:r>
            <w:r w:rsidR="00A25D22" w:rsidRPr="004A09AF">
              <w:rPr>
                <w:rFonts w:ascii="Cambria" w:hAnsi="Cambria" w:cstheme="minorHAnsi"/>
                <w:bCs/>
              </w:rPr>
              <w:t>, zejména s uvedením případů, v</w:t>
            </w:r>
            <w:r w:rsidR="002D1815" w:rsidRPr="004A09AF">
              <w:rPr>
                <w:rFonts w:ascii="Cambria" w:hAnsi="Cambria" w:cstheme="minorHAnsi"/>
                <w:bCs/>
              </w:rPr>
              <w:t>e</w:t>
            </w:r>
            <w:r w:rsidR="00935CFE" w:rsidRPr="004A09AF">
              <w:rPr>
                <w:rFonts w:ascii="Cambria" w:hAnsi="Cambria" w:cstheme="minorHAnsi"/>
                <w:bCs/>
              </w:rPr>
              <w:t xml:space="preserve"> kterých byl použit čl. 4 (</w:t>
            </w:r>
            <w:r w:rsidR="002D1815" w:rsidRPr="004A09AF">
              <w:rPr>
                <w:rFonts w:ascii="Cambria" w:hAnsi="Cambria" w:cstheme="minorHAnsi"/>
                <w:bCs/>
              </w:rPr>
              <w:t>4)</w:t>
            </w:r>
            <w:r w:rsidR="00935CFE" w:rsidRPr="004A09AF">
              <w:rPr>
                <w:rFonts w:ascii="Cambria" w:hAnsi="Cambria" w:cstheme="minorHAnsi"/>
                <w:bCs/>
              </w:rPr>
              <w:t xml:space="preserve">, </w:t>
            </w:r>
            <w:r w:rsidR="00935CFE" w:rsidRPr="004A09AF">
              <w:rPr>
                <w:rFonts w:ascii="Cambria" w:hAnsi="Cambria" w:cstheme="minorHAnsi"/>
                <w:bCs/>
              </w:rPr>
              <w:lastRenderedPageBreak/>
              <w:t>(5), (6) a (7</w:t>
            </w:r>
            <w:r w:rsidR="00A25D22" w:rsidRPr="004A09AF">
              <w:rPr>
                <w:rFonts w:ascii="Cambria" w:hAnsi="Cambria" w:cstheme="minorHAnsi"/>
                <w:bCs/>
              </w:rPr>
              <w:t>) (viz</w:t>
            </w:r>
            <w:r w:rsidR="002D1815" w:rsidRPr="004A09AF">
              <w:rPr>
                <w:rFonts w:ascii="Cambria" w:hAnsi="Cambria" w:cstheme="minorHAnsi"/>
                <w:bCs/>
              </w:rPr>
              <w:t xml:space="preserve"> příloha Guidance k předběžným </w:t>
            </w:r>
            <w:r w:rsidR="00935CFE" w:rsidRPr="004A09AF">
              <w:rPr>
                <w:rFonts w:ascii="Cambria" w:hAnsi="Cambria" w:cstheme="minorHAnsi"/>
                <w:bCs/>
              </w:rPr>
              <w:t>podm</w:t>
            </w:r>
            <w:r w:rsidR="002D1815" w:rsidRPr="004A09AF">
              <w:rPr>
                <w:rFonts w:ascii="Cambria" w:hAnsi="Cambria" w:cstheme="minorHAnsi"/>
                <w:bCs/>
              </w:rPr>
              <w:t>ínkám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) a související informace požadované podle tohoto článku. </w:t>
            </w:r>
            <w:r w:rsidR="002D1815" w:rsidRPr="004A09AF">
              <w:rPr>
                <w:rFonts w:ascii="Cambria" w:hAnsi="Cambria" w:cstheme="minorHAnsi"/>
                <w:bCs/>
              </w:rPr>
              <w:t>Pokud tomu tak není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, není možné </w:t>
            </w:r>
            <w:r w:rsidR="002D1815" w:rsidRPr="004A09AF">
              <w:rPr>
                <w:rFonts w:ascii="Cambria" w:hAnsi="Cambria" w:cstheme="minorHAnsi"/>
                <w:bCs/>
              </w:rPr>
              <w:t>určit,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 jak</w:t>
            </w:r>
            <w:r w:rsidR="002D1815" w:rsidRPr="004A09AF">
              <w:rPr>
                <w:rFonts w:ascii="Cambria" w:hAnsi="Cambria" w:cstheme="minorHAnsi"/>
                <w:bCs/>
              </w:rPr>
              <w:t xml:space="preserve"> bude </w:t>
            </w:r>
            <w:r w:rsidR="00A25D22" w:rsidRPr="004A09AF">
              <w:rPr>
                <w:rFonts w:ascii="Cambria" w:hAnsi="Cambria" w:cstheme="minorHAnsi"/>
                <w:bCs/>
              </w:rPr>
              <w:t>navrhovaný projekt</w:t>
            </w:r>
            <w:r w:rsidR="002D1815" w:rsidRPr="004A09AF">
              <w:rPr>
                <w:rFonts w:ascii="Cambria" w:hAnsi="Cambria" w:cstheme="minorHAnsi"/>
                <w:bCs/>
              </w:rPr>
              <w:t xml:space="preserve"> zapadat do tohoto rámce</w:t>
            </w:r>
            <w:r w:rsidR="00A25D22" w:rsidRPr="004A09AF">
              <w:rPr>
                <w:rFonts w:ascii="Cambria" w:hAnsi="Cambria" w:cstheme="minorHAnsi"/>
                <w:bCs/>
              </w:rPr>
              <w:t>.</w:t>
            </w:r>
          </w:p>
          <w:p w:rsidR="00CE113C" w:rsidRPr="004A09AF" w:rsidRDefault="002D1815" w:rsidP="006F6CF0">
            <w:pPr>
              <w:pStyle w:val="Odstavecseseznamem"/>
              <w:numPr>
                <w:ilvl w:val="0"/>
                <w:numId w:val="11"/>
              </w:numPr>
              <w:spacing w:before="60" w:after="60"/>
              <w:jc w:val="both"/>
              <w:rPr>
                <w:rFonts w:ascii="Cambria" w:hAnsi="Cambria" w:cstheme="minorHAnsi"/>
                <w:bCs/>
              </w:rPr>
            </w:pPr>
            <w:r w:rsidRPr="004A09AF">
              <w:rPr>
                <w:rFonts w:ascii="Cambria" w:hAnsi="Cambria" w:cstheme="minorHAnsi"/>
                <w:bCs/>
              </w:rPr>
              <w:t>s</w:t>
            </w:r>
            <w:r w:rsidR="00A25D22" w:rsidRPr="004A09AF">
              <w:rPr>
                <w:rFonts w:ascii="Cambria" w:hAnsi="Cambria" w:cstheme="minorHAnsi"/>
                <w:bCs/>
              </w:rPr>
              <w:t>ouhrn opatř</w:t>
            </w:r>
            <w:r w:rsidR="00935CFE" w:rsidRPr="004A09AF">
              <w:rPr>
                <w:rFonts w:ascii="Cambria" w:hAnsi="Cambria" w:cstheme="minorHAnsi"/>
                <w:bCs/>
              </w:rPr>
              <w:t>ení přijatých podle článku 11 (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5) pro vodní útvary, u kterých je nepravděpodobné dosažení </w:t>
            </w:r>
            <w:r w:rsidR="00BE7FD6" w:rsidRPr="004A09AF">
              <w:rPr>
                <w:rFonts w:ascii="Cambria" w:hAnsi="Cambria" w:cstheme="minorHAnsi"/>
                <w:bCs/>
              </w:rPr>
              <w:t>cílů stanovených podle článku 4</w:t>
            </w:r>
            <w:r w:rsidR="00A25D22" w:rsidRPr="004A09AF">
              <w:rPr>
                <w:rFonts w:ascii="Cambria" w:hAnsi="Cambria" w:cstheme="minorHAnsi"/>
                <w:bCs/>
              </w:rPr>
              <w:t>. Pokud by totiž</w:t>
            </w:r>
            <w:r w:rsidR="00BE7FD6" w:rsidRPr="004A09AF">
              <w:rPr>
                <w:rFonts w:ascii="Cambria" w:hAnsi="Cambria" w:cstheme="minorHAnsi"/>
                <w:bCs/>
              </w:rPr>
              <w:t xml:space="preserve"> </w:t>
            </w:r>
            <w:r w:rsidR="00A25D22" w:rsidRPr="004A09AF">
              <w:rPr>
                <w:rFonts w:ascii="Cambria" w:hAnsi="Cambria" w:cstheme="minorHAnsi"/>
                <w:bCs/>
              </w:rPr>
              <w:t>projekt</w:t>
            </w:r>
            <w:r w:rsidR="00935CFE" w:rsidRPr="004A09AF">
              <w:rPr>
                <w:rFonts w:ascii="Cambria" w:hAnsi="Cambria" w:cstheme="minorHAnsi"/>
                <w:bCs/>
              </w:rPr>
              <w:t xml:space="preserve"> zahrnoval oblast, 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v níž </w:t>
            </w:r>
            <w:r w:rsidR="00935CFE" w:rsidRPr="004A09AF">
              <w:rPr>
                <w:rFonts w:ascii="Cambria" w:hAnsi="Cambria" w:cstheme="minorHAnsi"/>
                <w:bCs/>
              </w:rPr>
              <w:t>je nepravděpodobné dosáhnout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 cíle vodních útvarů</w:t>
            </w:r>
            <w:r w:rsidR="00935CFE" w:rsidRPr="004A09AF">
              <w:rPr>
                <w:rFonts w:ascii="Cambria" w:hAnsi="Cambria" w:cstheme="minorHAnsi"/>
                <w:bCs/>
              </w:rPr>
              <w:t xml:space="preserve">, </w:t>
            </w:r>
            <w:r w:rsidR="00A25D22" w:rsidRPr="004A09AF">
              <w:rPr>
                <w:rFonts w:ascii="Cambria" w:hAnsi="Cambria" w:cstheme="minorHAnsi"/>
                <w:bCs/>
              </w:rPr>
              <w:t>je třeba vidět, jak takový projekt zapadá do</w:t>
            </w:r>
            <w:r w:rsidR="00935CFE" w:rsidRPr="004A09AF">
              <w:rPr>
                <w:rFonts w:ascii="Cambria" w:hAnsi="Cambria" w:cstheme="minorHAnsi"/>
                <w:bCs/>
              </w:rPr>
              <w:t xml:space="preserve"> plánů členského státu pro</w:t>
            </w:r>
            <w:r w:rsidR="00A25D22" w:rsidRPr="004A09AF">
              <w:rPr>
                <w:rFonts w:ascii="Cambria" w:hAnsi="Cambria" w:cstheme="minorHAnsi"/>
                <w:bCs/>
              </w:rPr>
              <w:t xml:space="preserve"> řešení tohoto problému.</w:t>
            </w:r>
          </w:p>
        </w:tc>
        <w:tc>
          <w:tcPr>
            <w:tcW w:w="5387" w:type="dxa"/>
            <w:shd w:val="clear" w:color="auto" w:fill="EAF1DD" w:themeFill="accent3" w:themeFillTint="33"/>
            <w:vAlign w:val="center"/>
          </w:tcPr>
          <w:p w:rsidR="001D2323" w:rsidRDefault="001D2323" w:rsidP="001D2323">
            <w:pPr>
              <w:pStyle w:val="DAVA"/>
              <w:rPr>
                <w:rFonts w:ascii="Cambria" w:hAnsi="Cambria" w:cstheme="minorHAnsi"/>
                <w:sz w:val="18"/>
                <w:szCs w:val="18"/>
                <w:lang w:val="en-US"/>
              </w:rPr>
            </w:pPr>
          </w:p>
          <w:p w:rsidR="00DC5EB0" w:rsidRDefault="005B290E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903E50">
              <w:rPr>
                <w:rFonts w:ascii="Cambria" w:hAnsi="Cambria" w:cstheme="minorHAnsi"/>
                <w:sz w:val="20"/>
                <w:szCs w:val="20"/>
              </w:rPr>
              <w:t>Plány povodí pro 2. plánovací období budou obsahovat prvky v souladu s požadavky Směrnice 2000/60/ES.</w:t>
            </w:r>
          </w:p>
          <w:p w:rsidR="002066D3" w:rsidRPr="00903E50" w:rsidRDefault="00DC5EB0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  <w:lang w:val="en-US"/>
              </w:rPr>
              <w:t>Požadované body</w:t>
            </w:r>
            <w:r w:rsidR="00D57B4E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(např,</w:t>
            </w:r>
            <w:r w:rsidR="00505CCA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inventarizace emisí</w:t>
            </w:r>
            <w:r w:rsidR="00EA63DF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, existence metodik,</w:t>
            </w:r>
            <w:r w:rsidR="00505CCA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)</w:t>
            </w:r>
            <w:r w:rsidR="002066D3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, které </w:t>
            </w:r>
            <w:r w:rsidR="00903E5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byly diskutovány </w:t>
            </w:r>
            <w:r w:rsidR="002066D3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</w:t>
            </w:r>
            <w:r w:rsidR="00903E50">
              <w:rPr>
                <w:rFonts w:ascii="Cambria" w:hAnsi="Cambria" w:cstheme="minorHAnsi"/>
                <w:sz w:val="20"/>
                <w:szCs w:val="20"/>
                <w:lang w:val="en-US"/>
              </w:rPr>
              <w:t>během</w:t>
            </w:r>
            <w:r w:rsidR="002066D3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bilaterálního jednání</w:t>
            </w:r>
            <w:r w:rsidR="00D57B4E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s EK v lednu 2014 </w:t>
            </w:r>
            <w:r w:rsidR="00D35644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včetně </w:t>
            </w:r>
            <w:r w:rsidR="00F73438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doplňujích dotazů, budou v souladu s </w:t>
            </w:r>
            <w:r w:rsidR="00903E50">
              <w:rPr>
                <w:rFonts w:ascii="Cambria" w:hAnsi="Cambria" w:cstheme="minorHAnsi"/>
                <w:sz w:val="20"/>
                <w:szCs w:val="20"/>
                <w:lang w:val="en-US"/>
              </w:rPr>
              <w:t>odsouhlaseným zápisem tohoto bilaterálního jednání mezi ČR a Evropskou komisí</w:t>
            </w:r>
            <w:r w:rsidR="00F73438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a </w:t>
            </w:r>
            <w:r w:rsidR="002066D3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budou </w:t>
            </w:r>
            <w:r w:rsidR="00F7606D">
              <w:rPr>
                <w:rFonts w:ascii="Cambria" w:hAnsi="Cambria" w:cstheme="minorHAnsi"/>
                <w:sz w:val="20"/>
                <w:szCs w:val="20"/>
                <w:lang w:val="en-US"/>
              </w:rPr>
              <w:t>sledovány</w:t>
            </w:r>
            <w:r w:rsidR="002066D3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v aktualizovaných plánech povodí</w:t>
            </w:r>
            <w:r w:rsidR="00EA63DF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Návrhy plánů povodí </w:t>
            </w:r>
            <w:r w:rsidR="00A95671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jsou</w:t>
            </w:r>
            <w:r w:rsidR="00EA63DF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u </w:t>
            </w:r>
            <w:r w:rsidR="002066D3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.</w:t>
            </w:r>
            <w:r w:rsidR="00EA63DF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zveřejněny připomínkám v</w:t>
            </w:r>
            <w:r w:rsidR="00A95671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e</w:t>
            </w:r>
            <w:r w:rsidR="00EA63DF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řejnosti a uživatelů vody od 22.12.2014 na 6 měsíců</w:t>
            </w:r>
            <w:r w:rsidR="00A95671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(tj. do 22.6.2015)</w:t>
            </w:r>
            <w:r w:rsidR="00EA63DF" w:rsidRPr="00707810">
              <w:rPr>
                <w:rFonts w:ascii="Cambria" w:hAnsi="Cambria" w:cstheme="minorHAnsi"/>
                <w:sz w:val="20"/>
                <w:szCs w:val="20"/>
                <w:lang w:val="en-US"/>
              </w:rPr>
              <w:t>.</w:t>
            </w:r>
          </w:p>
          <w:p w:rsidR="001D2323" w:rsidRDefault="001D2323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  <w:p w:rsidR="00DC5EB0" w:rsidRPr="009E3D38" w:rsidRDefault="00DC5EB0" w:rsidP="00DC5EB0">
            <w:pPr>
              <w:spacing w:after="60"/>
              <w:jc w:val="both"/>
              <w:rPr>
                <w:rFonts w:ascii="Cambria" w:hAnsi="Cambria" w:cstheme="minorHAnsi"/>
                <w:bCs/>
              </w:rPr>
            </w:pPr>
            <w:r w:rsidRPr="009E3D38">
              <w:rPr>
                <w:rFonts w:asciiTheme="majorHAnsi" w:eastAsiaTheme="minorHAnsi" w:hAnsiTheme="majorHAnsi" w:cs="Arial"/>
                <w:lang w:eastAsia="en-US"/>
              </w:rPr>
              <w:t>Aktuální infor</w:t>
            </w:r>
            <w:r w:rsidRPr="006F10BC">
              <w:rPr>
                <w:rFonts w:asciiTheme="majorHAnsi" w:eastAsiaTheme="minorHAnsi" w:hAnsiTheme="majorHAnsi" w:cs="Arial"/>
                <w:lang w:eastAsia="en-US"/>
              </w:rPr>
              <w:t>mace</w:t>
            </w:r>
            <w:r>
              <w:rPr>
                <w:rFonts w:asciiTheme="majorHAnsi" w:eastAsiaTheme="minorHAnsi" w:hAnsiTheme="majorHAnsi" w:cs="Arial"/>
                <w:lang w:eastAsia="en-US"/>
              </w:rPr>
              <w:t xml:space="preserve"> českých orgánů o současném stavu:</w:t>
            </w:r>
          </w:p>
          <w:p w:rsidR="00DC5EB0" w:rsidRPr="00DC5EB0" w:rsidRDefault="00DC5EB0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  <w:p w:rsidR="001D2323" w:rsidRDefault="001D2323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 xml:space="preserve">Monitorovací programy jsou ustanoveny. Zahrnují 33 prioritních látek pro hodnocení chemického stavu a 81 znečišťujících látek a 8 základních fyzikálně-chemických parametrů pro hodnocení ekologického stavu. Informace o individuálních parametrech sledovaných v jednotlivých vodních útvarech jsou součástí protokolu hodnocení. </w:t>
            </w:r>
          </w:p>
          <w:p w:rsidR="001D2323" w:rsidRDefault="00114609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t>Mapy monitorovacích sítí jsou zahrnuty v plánech povodí a ve formě výsledků prezentují současný stav povrchových a podzemních vod a chráněných oblastí v souladu s článkem 8.</w:t>
            </w:r>
            <w:r w:rsidR="00220349" w:rsidRPr="004A09AF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  <w:p w:rsidR="001D2323" w:rsidRDefault="001D2323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 xml:space="preserve">V rámci druhých plánů povodí byla pro hodnocení ekologického stavu použita metoda, která je v souladu s rámcovou směrnicí. Metoda je založena na monitorování povrchových a podzemních vod. Hodnocení bylo dokončeno </w:t>
            </w:r>
            <w:r>
              <w:rPr>
                <w:rFonts w:ascii="Cambria" w:hAnsi="Cambria" w:cstheme="minorHAnsi"/>
                <w:sz w:val="20"/>
                <w:szCs w:val="20"/>
              </w:rPr>
              <w:lastRenderedPageBreak/>
              <w:t>v dubnu 2014.</w:t>
            </w:r>
          </w:p>
          <w:p w:rsidR="00114609" w:rsidRPr="004A09AF" w:rsidRDefault="00950C7C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N</w:t>
            </w:r>
            <w:r w:rsidR="00220349" w:rsidRPr="004A09AF">
              <w:rPr>
                <w:rFonts w:ascii="Cambria" w:hAnsi="Cambria" w:cstheme="minorHAnsi"/>
                <w:sz w:val="20"/>
                <w:szCs w:val="20"/>
              </w:rPr>
              <w:t xml:space="preserve">a základě vyhodnocení je sestavován program opatření </w:t>
            </w:r>
            <w:r w:rsidR="00DA24EE">
              <w:rPr>
                <w:rFonts w:ascii="Cambria" w:hAnsi="Cambria" w:cstheme="minorHAnsi"/>
                <w:sz w:val="20"/>
                <w:szCs w:val="20"/>
              </w:rPr>
              <w:t>v souladu s článkem 4</w:t>
            </w:r>
            <w:r w:rsidR="00220349" w:rsidRPr="004A09AF">
              <w:rPr>
                <w:rFonts w:ascii="Cambria" w:hAnsi="Cambria" w:cstheme="minorHAnsi"/>
                <w:sz w:val="20"/>
                <w:szCs w:val="20"/>
              </w:rPr>
              <w:t xml:space="preserve"> resp. souhrn opatření a zpracovávány případné v</w:t>
            </w:r>
            <w:r w:rsidR="00D35644">
              <w:rPr>
                <w:rFonts w:ascii="Cambria" w:hAnsi="Cambria" w:cstheme="minorHAnsi"/>
                <w:sz w:val="20"/>
                <w:szCs w:val="20"/>
              </w:rPr>
              <w:t>ý</w:t>
            </w:r>
            <w:r w:rsidR="00220349" w:rsidRPr="004A09AF">
              <w:rPr>
                <w:rFonts w:ascii="Cambria" w:hAnsi="Cambria" w:cstheme="minorHAnsi"/>
                <w:sz w:val="20"/>
                <w:szCs w:val="20"/>
              </w:rPr>
              <w:t>j</w:t>
            </w:r>
            <w:r w:rsidR="00D35644">
              <w:rPr>
                <w:rFonts w:ascii="Cambria" w:hAnsi="Cambria" w:cstheme="minorHAnsi"/>
                <w:sz w:val="20"/>
                <w:szCs w:val="20"/>
              </w:rPr>
              <w:t>i</w:t>
            </w:r>
            <w:r w:rsidR="00220349" w:rsidRPr="004A09AF">
              <w:rPr>
                <w:rFonts w:ascii="Cambria" w:hAnsi="Cambria" w:cstheme="minorHAnsi"/>
                <w:sz w:val="20"/>
                <w:szCs w:val="20"/>
              </w:rPr>
              <w:t>mky.</w:t>
            </w:r>
          </w:p>
          <w:p w:rsidR="006E75E9" w:rsidRPr="004A09AF" w:rsidRDefault="006E75E9" w:rsidP="009366BC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CE113C" w:rsidRPr="004A09AF" w:rsidRDefault="005B290E" w:rsidP="006F6CF0">
            <w:pPr>
              <w:pStyle w:val="DAVA"/>
              <w:spacing w:before="0"/>
              <w:rPr>
                <w:rFonts w:ascii="Cambria" w:hAnsi="Cambria" w:cstheme="minorHAnsi"/>
                <w:sz w:val="20"/>
                <w:szCs w:val="20"/>
              </w:rPr>
            </w:pPr>
            <w:r w:rsidRPr="004A09AF">
              <w:rPr>
                <w:rFonts w:ascii="Cambria" w:hAnsi="Cambria" w:cstheme="minorHAnsi"/>
                <w:sz w:val="20"/>
                <w:szCs w:val="20"/>
              </w:rPr>
              <w:lastRenderedPageBreak/>
              <w:t>22.12.2015</w:t>
            </w:r>
            <w:r w:rsidR="009D1779" w:rsidRPr="004A09AF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4A09AF">
              <w:rPr>
                <w:rFonts w:ascii="Cambria" w:hAnsi="Cambria" w:cstheme="minorHAnsi"/>
                <w:sz w:val="20"/>
                <w:szCs w:val="20"/>
              </w:rPr>
              <w:t>resp. reporting pro EK 22.03.2016</w:t>
            </w:r>
          </w:p>
        </w:tc>
      </w:tr>
    </w:tbl>
    <w:p w:rsidR="00D8521B" w:rsidRPr="00E2646A" w:rsidRDefault="00D8521B" w:rsidP="00D8521B">
      <w:pPr>
        <w:rPr>
          <w:sz w:val="16"/>
          <w:szCs w:val="16"/>
        </w:rPr>
      </w:pPr>
    </w:p>
    <w:p w:rsidR="005A6568" w:rsidRPr="004A09AF" w:rsidRDefault="005A6568" w:rsidP="00D8521B">
      <w:pPr>
        <w:rPr>
          <w:rFonts w:ascii="Cambria" w:hAnsi="Cambria"/>
          <w:b/>
        </w:rPr>
      </w:pPr>
    </w:p>
    <w:p w:rsidR="005A6568" w:rsidRPr="004A09AF" w:rsidRDefault="005A6568" w:rsidP="00D8521B">
      <w:pPr>
        <w:rPr>
          <w:rFonts w:ascii="Cambria" w:hAnsi="Cambria"/>
          <w:b/>
        </w:rPr>
      </w:pPr>
    </w:p>
    <w:p w:rsidR="005A6568" w:rsidRPr="004A09AF" w:rsidRDefault="005A6568" w:rsidP="00D8521B">
      <w:pPr>
        <w:rPr>
          <w:rFonts w:ascii="Cambria" w:hAnsi="Cambria"/>
          <w:b/>
        </w:rPr>
      </w:pPr>
    </w:p>
    <w:p w:rsidR="005A6568" w:rsidRPr="007F3FC0" w:rsidRDefault="005A6568" w:rsidP="00D8521B">
      <w:pPr>
        <w:rPr>
          <w:rFonts w:ascii="Cambria" w:hAnsi="Cambria"/>
        </w:rPr>
      </w:pPr>
      <w:r w:rsidRPr="007F3FC0">
        <w:rPr>
          <w:rFonts w:ascii="Cambria" w:hAnsi="Cambria"/>
        </w:rPr>
        <w:t>Ke dni:</w:t>
      </w:r>
      <w:r w:rsidR="00412490" w:rsidRPr="007F3FC0">
        <w:rPr>
          <w:rFonts w:ascii="Cambria" w:hAnsi="Cambria"/>
        </w:rPr>
        <w:t xml:space="preserve"> </w:t>
      </w:r>
      <w:r w:rsidR="00DC5EB0">
        <w:rPr>
          <w:rFonts w:ascii="Cambria" w:hAnsi="Cambria"/>
        </w:rPr>
        <w:t>2</w:t>
      </w:r>
      <w:r w:rsidR="00DC4380">
        <w:rPr>
          <w:rFonts w:ascii="Cambria" w:hAnsi="Cambria"/>
        </w:rPr>
        <w:t>1</w:t>
      </w:r>
      <w:r w:rsidR="00220349" w:rsidRPr="007F3FC0">
        <w:rPr>
          <w:rFonts w:ascii="Cambria" w:hAnsi="Cambria"/>
        </w:rPr>
        <w:t>.</w:t>
      </w:r>
      <w:r w:rsidR="002475B0">
        <w:rPr>
          <w:rFonts w:ascii="Cambria" w:hAnsi="Cambria"/>
        </w:rPr>
        <w:t xml:space="preserve"> </w:t>
      </w:r>
      <w:r w:rsidR="00DC5EB0">
        <w:rPr>
          <w:rFonts w:ascii="Cambria" w:hAnsi="Cambria"/>
        </w:rPr>
        <w:t>4</w:t>
      </w:r>
      <w:r w:rsidR="00412490" w:rsidRPr="007F3FC0">
        <w:rPr>
          <w:rFonts w:ascii="Cambria" w:hAnsi="Cambria"/>
        </w:rPr>
        <w:t>.</w:t>
      </w:r>
      <w:r w:rsidR="00241190" w:rsidRPr="007F3FC0">
        <w:rPr>
          <w:rFonts w:ascii="Cambria" w:hAnsi="Cambria"/>
        </w:rPr>
        <w:t xml:space="preserve"> </w:t>
      </w:r>
      <w:r w:rsidR="00412490" w:rsidRPr="007F3FC0">
        <w:rPr>
          <w:rFonts w:ascii="Cambria" w:hAnsi="Cambria"/>
        </w:rPr>
        <w:t>20</w:t>
      </w:r>
      <w:r w:rsidR="00B728EE" w:rsidRPr="007F3FC0">
        <w:rPr>
          <w:rFonts w:ascii="Cambria" w:hAnsi="Cambria"/>
        </w:rPr>
        <w:t>1</w:t>
      </w:r>
      <w:r w:rsidR="00A95671">
        <w:rPr>
          <w:rFonts w:ascii="Cambria" w:hAnsi="Cambria"/>
        </w:rPr>
        <w:t>5</w:t>
      </w:r>
    </w:p>
    <w:p w:rsidR="00E269CC" w:rsidRPr="007F3FC0" w:rsidRDefault="00E269CC" w:rsidP="00D8521B">
      <w:pPr>
        <w:rPr>
          <w:rFonts w:ascii="Cambria" w:hAnsi="Cambria"/>
        </w:rPr>
      </w:pPr>
    </w:p>
    <w:sectPr w:rsidR="00E269CC" w:rsidRPr="007F3FC0" w:rsidSect="00CD326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930" w:rsidRDefault="00761930" w:rsidP="00D8521B">
      <w:pPr>
        <w:spacing w:after="0" w:line="240" w:lineRule="auto"/>
      </w:pPr>
      <w:r>
        <w:separator/>
      </w:r>
    </w:p>
  </w:endnote>
  <w:endnote w:type="continuationSeparator" w:id="0">
    <w:p w:rsidR="00761930" w:rsidRDefault="00761930" w:rsidP="00D85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5546654"/>
      <w:docPartObj>
        <w:docPartGallery w:val="Page Numbers (Bottom of Page)"/>
        <w:docPartUnique/>
      </w:docPartObj>
    </w:sdtPr>
    <w:sdtEndPr/>
    <w:sdtContent>
      <w:p w:rsidR="008D22B6" w:rsidRDefault="008D22B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EA6">
          <w:rPr>
            <w:noProof/>
          </w:rPr>
          <w:t>9</w:t>
        </w:r>
        <w:r>
          <w:fldChar w:fldCharType="end"/>
        </w:r>
      </w:p>
    </w:sdtContent>
  </w:sdt>
  <w:p w:rsidR="008D22B6" w:rsidRDefault="008D22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930" w:rsidRDefault="00761930" w:rsidP="00D8521B">
      <w:pPr>
        <w:spacing w:after="0" w:line="240" w:lineRule="auto"/>
      </w:pPr>
      <w:r>
        <w:separator/>
      </w:r>
    </w:p>
  </w:footnote>
  <w:footnote w:type="continuationSeparator" w:id="0">
    <w:p w:rsidR="00761930" w:rsidRDefault="00761930" w:rsidP="00D8521B">
      <w:pPr>
        <w:spacing w:after="0" w:line="240" w:lineRule="auto"/>
      </w:pPr>
      <w:r>
        <w:continuationSeparator/>
      </w:r>
    </w:p>
  </w:footnote>
  <w:footnote w:id="1">
    <w:p w:rsidR="008D22B6" w:rsidRDefault="008D22B6" w:rsidP="00D8521B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</w:t>
      </w:r>
      <w:r w:rsidRPr="00BE00B1">
        <w:rPr>
          <w:sz w:val="18"/>
          <w:szCs w:val="18"/>
        </w:rPr>
        <w:t>Odkazy na strategie, legisla</w:t>
      </w:r>
      <w:r>
        <w:rPr>
          <w:sz w:val="18"/>
          <w:szCs w:val="18"/>
        </w:rPr>
        <w:t>tivní akty nebo další relevantní dokumenty obsahující odkazy na relevantní sekce, články nebo paragrafy, spolu s uvedením hypertextového odkazu nebo jiné možnosti přístupu k plnému textu</w:t>
      </w:r>
      <w:r w:rsidRPr="0018412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061F"/>
    <w:multiLevelType w:val="hybridMultilevel"/>
    <w:tmpl w:val="C7D6E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80B08"/>
    <w:multiLevelType w:val="hybridMultilevel"/>
    <w:tmpl w:val="8AE2A476"/>
    <w:lvl w:ilvl="0" w:tplc="666EE554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B4043"/>
    <w:multiLevelType w:val="hybridMultilevel"/>
    <w:tmpl w:val="025E31F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5619D"/>
    <w:multiLevelType w:val="hybridMultilevel"/>
    <w:tmpl w:val="76447A42"/>
    <w:lvl w:ilvl="0" w:tplc="757EC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D2AB1"/>
    <w:multiLevelType w:val="hybridMultilevel"/>
    <w:tmpl w:val="DC263E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D5A15"/>
    <w:multiLevelType w:val="hybridMultilevel"/>
    <w:tmpl w:val="239212C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CC079D"/>
    <w:multiLevelType w:val="hybridMultilevel"/>
    <w:tmpl w:val="851E600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19477F"/>
    <w:multiLevelType w:val="hybridMultilevel"/>
    <w:tmpl w:val="333835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7769E"/>
    <w:multiLevelType w:val="hybridMultilevel"/>
    <w:tmpl w:val="B164CCEE"/>
    <w:lvl w:ilvl="0" w:tplc="04050005">
      <w:start w:val="1"/>
      <w:numFmt w:val="bullet"/>
      <w:lvlText w:val=""/>
      <w:lvlJc w:val="left"/>
      <w:pPr>
        <w:ind w:left="14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9">
    <w:nsid w:val="4F716C7F"/>
    <w:multiLevelType w:val="hybridMultilevel"/>
    <w:tmpl w:val="1AF4615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2C5928"/>
    <w:multiLevelType w:val="hybridMultilevel"/>
    <w:tmpl w:val="35069BFA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8C41BC3"/>
    <w:multiLevelType w:val="hybridMultilevel"/>
    <w:tmpl w:val="9D08C308"/>
    <w:lvl w:ilvl="0" w:tplc="3040818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D76C4"/>
    <w:multiLevelType w:val="hybridMultilevel"/>
    <w:tmpl w:val="0D9EB5D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5B6E0C"/>
    <w:multiLevelType w:val="hybridMultilevel"/>
    <w:tmpl w:val="C90445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B0E1F"/>
    <w:multiLevelType w:val="hybridMultilevel"/>
    <w:tmpl w:val="C0B2F5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EE2E7E"/>
    <w:multiLevelType w:val="hybridMultilevel"/>
    <w:tmpl w:val="AA760E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  <w:num w:numId="14">
    <w:abstractNumId w:val="2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B"/>
    <w:rsid w:val="00006B66"/>
    <w:rsid w:val="00011D60"/>
    <w:rsid w:val="000149B2"/>
    <w:rsid w:val="00034267"/>
    <w:rsid w:val="0004219B"/>
    <w:rsid w:val="000470D1"/>
    <w:rsid w:val="0004746A"/>
    <w:rsid w:val="000565B1"/>
    <w:rsid w:val="000625AD"/>
    <w:rsid w:val="00062FA4"/>
    <w:rsid w:val="000A70F7"/>
    <w:rsid w:val="000D4EFE"/>
    <w:rsid w:val="000D709A"/>
    <w:rsid w:val="000E20FE"/>
    <w:rsid w:val="000E572B"/>
    <w:rsid w:val="00110F5C"/>
    <w:rsid w:val="00114609"/>
    <w:rsid w:val="0013060D"/>
    <w:rsid w:val="00132388"/>
    <w:rsid w:val="00136FA0"/>
    <w:rsid w:val="0013775A"/>
    <w:rsid w:val="00176855"/>
    <w:rsid w:val="001C21E0"/>
    <w:rsid w:val="001C3D28"/>
    <w:rsid w:val="001D2323"/>
    <w:rsid w:val="001D5456"/>
    <w:rsid w:val="001F07A6"/>
    <w:rsid w:val="001F2A94"/>
    <w:rsid w:val="001F71D6"/>
    <w:rsid w:val="00205FDE"/>
    <w:rsid w:val="002066D3"/>
    <w:rsid w:val="00220349"/>
    <w:rsid w:val="00222548"/>
    <w:rsid w:val="00227ED5"/>
    <w:rsid w:val="00233D31"/>
    <w:rsid w:val="00241190"/>
    <w:rsid w:val="002475B0"/>
    <w:rsid w:val="00266286"/>
    <w:rsid w:val="002936CB"/>
    <w:rsid w:val="002B46B0"/>
    <w:rsid w:val="002B5386"/>
    <w:rsid w:val="002C6008"/>
    <w:rsid w:val="002D1815"/>
    <w:rsid w:val="002D5E15"/>
    <w:rsid w:val="002E04D5"/>
    <w:rsid w:val="00307AD1"/>
    <w:rsid w:val="003163AE"/>
    <w:rsid w:val="00317452"/>
    <w:rsid w:val="00324037"/>
    <w:rsid w:val="003347AF"/>
    <w:rsid w:val="003460C5"/>
    <w:rsid w:val="003547CE"/>
    <w:rsid w:val="00371274"/>
    <w:rsid w:val="00382389"/>
    <w:rsid w:val="003838B3"/>
    <w:rsid w:val="003852EA"/>
    <w:rsid w:val="003A6DDC"/>
    <w:rsid w:val="003C09CE"/>
    <w:rsid w:val="003C3614"/>
    <w:rsid w:val="003D20F4"/>
    <w:rsid w:val="003E3DC3"/>
    <w:rsid w:val="003E7FF5"/>
    <w:rsid w:val="00411CA4"/>
    <w:rsid w:val="00412490"/>
    <w:rsid w:val="004148C1"/>
    <w:rsid w:val="00432C40"/>
    <w:rsid w:val="00457797"/>
    <w:rsid w:val="0047312F"/>
    <w:rsid w:val="00490CF7"/>
    <w:rsid w:val="004A09AF"/>
    <w:rsid w:val="004B0BE8"/>
    <w:rsid w:val="004C1BD2"/>
    <w:rsid w:val="004D38AB"/>
    <w:rsid w:val="004F71C6"/>
    <w:rsid w:val="004F7C6C"/>
    <w:rsid w:val="00505CCA"/>
    <w:rsid w:val="00511639"/>
    <w:rsid w:val="00520E31"/>
    <w:rsid w:val="0052595E"/>
    <w:rsid w:val="00537C20"/>
    <w:rsid w:val="0054424D"/>
    <w:rsid w:val="00547CB5"/>
    <w:rsid w:val="005570E8"/>
    <w:rsid w:val="0056547E"/>
    <w:rsid w:val="00567E66"/>
    <w:rsid w:val="0059378E"/>
    <w:rsid w:val="005A4EA7"/>
    <w:rsid w:val="005A6568"/>
    <w:rsid w:val="005B290E"/>
    <w:rsid w:val="005C43C1"/>
    <w:rsid w:val="005C6D28"/>
    <w:rsid w:val="005D6055"/>
    <w:rsid w:val="00603040"/>
    <w:rsid w:val="006325E9"/>
    <w:rsid w:val="0063591E"/>
    <w:rsid w:val="0064796B"/>
    <w:rsid w:val="00670805"/>
    <w:rsid w:val="00683E93"/>
    <w:rsid w:val="006B0F80"/>
    <w:rsid w:val="006C0A55"/>
    <w:rsid w:val="006E5427"/>
    <w:rsid w:val="006E75E9"/>
    <w:rsid w:val="006F5F3F"/>
    <w:rsid w:val="006F6CF0"/>
    <w:rsid w:val="00707810"/>
    <w:rsid w:val="007126EA"/>
    <w:rsid w:val="00725D33"/>
    <w:rsid w:val="00761930"/>
    <w:rsid w:val="00761F33"/>
    <w:rsid w:val="00765452"/>
    <w:rsid w:val="00773201"/>
    <w:rsid w:val="007746CA"/>
    <w:rsid w:val="00776C8D"/>
    <w:rsid w:val="007943BF"/>
    <w:rsid w:val="00797F01"/>
    <w:rsid w:val="007B1060"/>
    <w:rsid w:val="007B4109"/>
    <w:rsid w:val="007C5276"/>
    <w:rsid w:val="007E28AA"/>
    <w:rsid w:val="007F3FC0"/>
    <w:rsid w:val="008017E3"/>
    <w:rsid w:val="00806F20"/>
    <w:rsid w:val="00810B6B"/>
    <w:rsid w:val="00820712"/>
    <w:rsid w:val="008339BA"/>
    <w:rsid w:val="008356DE"/>
    <w:rsid w:val="008462D9"/>
    <w:rsid w:val="00846CFD"/>
    <w:rsid w:val="00846D1D"/>
    <w:rsid w:val="0086293D"/>
    <w:rsid w:val="00863516"/>
    <w:rsid w:val="00873631"/>
    <w:rsid w:val="00876190"/>
    <w:rsid w:val="00881D9D"/>
    <w:rsid w:val="00884EC6"/>
    <w:rsid w:val="008959F7"/>
    <w:rsid w:val="008C70C1"/>
    <w:rsid w:val="008D22B6"/>
    <w:rsid w:val="008E4811"/>
    <w:rsid w:val="008E50D4"/>
    <w:rsid w:val="008F4C00"/>
    <w:rsid w:val="00903E50"/>
    <w:rsid w:val="00904BCC"/>
    <w:rsid w:val="00935CFE"/>
    <w:rsid w:val="009366BC"/>
    <w:rsid w:val="009465DD"/>
    <w:rsid w:val="00947958"/>
    <w:rsid w:val="00950C7C"/>
    <w:rsid w:val="009D1779"/>
    <w:rsid w:val="009E3D38"/>
    <w:rsid w:val="009E590C"/>
    <w:rsid w:val="009F08DD"/>
    <w:rsid w:val="009F319C"/>
    <w:rsid w:val="009F7F95"/>
    <w:rsid w:val="00A0781B"/>
    <w:rsid w:val="00A17364"/>
    <w:rsid w:val="00A22C1F"/>
    <w:rsid w:val="00A25D22"/>
    <w:rsid w:val="00A4228F"/>
    <w:rsid w:val="00A4589A"/>
    <w:rsid w:val="00A5246C"/>
    <w:rsid w:val="00A545CA"/>
    <w:rsid w:val="00A57741"/>
    <w:rsid w:val="00A60341"/>
    <w:rsid w:val="00A673B4"/>
    <w:rsid w:val="00A67814"/>
    <w:rsid w:val="00A83AA0"/>
    <w:rsid w:val="00A872F9"/>
    <w:rsid w:val="00A95671"/>
    <w:rsid w:val="00AB2699"/>
    <w:rsid w:val="00AB322D"/>
    <w:rsid w:val="00AB3952"/>
    <w:rsid w:val="00AB5B5D"/>
    <w:rsid w:val="00AD0D16"/>
    <w:rsid w:val="00AD1EAA"/>
    <w:rsid w:val="00AE4CB8"/>
    <w:rsid w:val="00B0370A"/>
    <w:rsid w:val="00B2255F"/>
    <w:rsid w:val="00B53169"/>
    <w:rsid w:val="00B64C73"/>
    <w:rsid w:val="00B728EE"/>
    <w:rsid w:val="00B87EA6"/>
    <w:rsid w:val="00BA6878"/>
    <w:rsid w:val="00BC03FA"/>
    <w:rsid w:val="00BC1892"/>
    <w:rsid w:val="00BC18B9"/>
    <w:rsid w:val="00BE7FD6"/>
    <w:rsid w:val="00BF1421"/>
    <w:rsid w:val="00BF71D7"/>
    <w:rsid w:val="00C04D85"/>
    <w:rsid w:val="00C17C65"/>
    <w:rsid w:val="00C26CB6"/>
    <w:rsid w:val="00C40158"/>
    <w:rsid w:val="00C85F41"/>
    <w:rsid w:val="00CA0E6B"/>
    <w:rsid w:val="00CB2AC4"/>
    <w:rsid w:val="00CB68F3"/>
    <w:rsid w:val="00CC3EEA"/>
    <w:rsid w:val="00CD3262"/>
    <w:rsid w:val="00CE113C"/>
    <w:rsid w:val="00CE3BC7"/>
    <w:rsid w:val="00CE773F"/>
    <w:rsid w:val="00CF30A4"/>
    <w:rsid w:val="00D05B54"/>
    <w:rsid w:val="00D12DB9"/>
    <w:rsid w:val="00D14DFB"/>
    <w:rsid w:val="00D35644"/>
    <w:rsid w:val="00D57B4E"/>
    <w:rsid w:val="00D72A73"/>
    <w:rsid w:val="00D72E22"/>
    <w:rsid w:val="00D8521B"/>
    <w:rsid w:val="00DA1562"/>
    <w:rsid w:val="00DA24EE"/>
    <w:rsid w:val="00DA676B"/>
    <w:rsid w:val="00DC1E98"/>
    <w:rsid w:val="00DC360B"/>
    <w:rsid w:val="00DC4380"/>
    <w:rsid w:val="00DC5EB0"/>
    <w:rsid w:val="00DD74D6"/>
    <w:rsid w:val="00E014E5"/>
    <w:rsid w:val="00E13FE7"/>
    <w:rsid w:val="00E14477"/>
    <w:rsid w:val="00E15CD9"/>
    <w:rsid w:val="00E2646A"/>
    <w:rsid w:val="00E269CC"/>
    <w:rsid w:val="00E41E11"/>
    <w:rsid w:val="00E650E6"/>
    <w:rsid w:val="00E66633"/>
    <w:rsid w:val="00E866C7"/>
    <w:rsid w:val="00EA4BEC"/>
    <w:rsid w:val="00EA5A27"/>
    <w:rsid w:val="00EA63DF"/>
    <w:rsid w:val="00EA7E80"/>
    <w:rsid w:val="00EC31C8"/>
    <w:rsid w:val="00EC49FB"/>
    <w:rsid w:val="00EE5DF5"/>
    <w:rsid w:val="00EF63E1"/>
    <w:rsid w:val="00EF74CA"/>
    <w:rsid w:val="00F2183C"/>
    <w:rsid w:val="00F22FB4"/>
    <w:rsid w:val="00F251B0"/>
    <w:rsid w:val="00F27321"/>
    <w:rsid w:val="00F330A4"/>
    <w:rsid w:val="00F554E0"/>
    <w:rsid w:val="00F728D2"/>
    <w:rsid w:val="00F72ABB"/>
    <w:rsid w:val="00F73438"/>
    <w:rsid w:val="00F75BB1"/>
    <w:rsid w:val="00F7606D"/>
    <w:rsid w:val="00F81945"/>
    <w:rsid w:val="00F829E3"/>
    <w:rsid w:val="00FA569B"/>
    <w:rsid w:val="00FB11A8"/>
    <w:rsid w:val="00FC5386"/>
    <w:rsid w:val="00FD2D35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38AA96-DDD7-48DB-B845-E30508E6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A0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09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6923C" w:themeColor="accent3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41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A09AF"/>
    <w:rPr>
      <w:rFonts w:asciiTheme="majorHAnsi" w:eastAsiaTheme="majorEastAsia" w:hAnsiTheme="majorHAnsi" w:cstheme="majorBidi"/>
      <w:b/>
      <w:bCs/>
      <w:color w:val="76923C" w:themeColor="accent3" w:themeShade="BF"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A09AF"/>
    <w:rPr>
      <w:rFonts w:asciiTheme="majorHAnsi" w:eastAsiaTheme="majorEastAsia" w:hAnsiTheme="majorHAnsi" w:cstheme="majorBidi"/>
      <w:b/>
      <w:bCs/>
      <w:color w:val="76923C" w:themeColor="accent3" w:themeShade="BF"/>
      <w:sz w:val="26"/>
      <w:szCs w:val="26"/>
    </w:rPr>
  </w:style>
  <w:style w:type="paragraph" w:customStyle="1" w:styleId="Styl2">
    <w:name w:val="Styl2"/>
    <w:basedOn w:val="Normln"/>
    <w:qFormat/>
    <w:rsid w:val="00D8521B"/>
    <w:pPr>
      <w:spacing w:before="60" w:after="60" w:line="288" w:lineRule="auto"/>
      <w:jc w:val="both"/>
    </w:pPr>
    <w:rPr>
      <w:rFonts w:ascii="Arial" w:eastAsia="Arial Unicode MS" w:hAnsi="Arial" w:cs="Times New Roman"/>
      <w:sz w:val="20"/>
      <w:lang w:eastAsia="cs-CZ"/>
    </w:rPr>
  </w:style>
  <w:style w:type="paragraph" w:customStyle="1" w:styleId="DAVA">
    <w:name w:val="DAVA"/>
    <w:basedOn w:val="Normln"/>
    <w:link w:val="DAVAChar"/>
    <w:qFormat/>
    <w:rsid w:val="00D8521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VAChar">
    <w:name w:val="DAVA Char"/>
    <w:basedOn w:val="Standardnpsmoodstavce"/>
    <w:link w:val="DAVA"/>
    <w:rsid w:val="00D8521B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85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3F3F3"/>
    </w:tcPr>
  </w:style>
  <w:style w:type="paragraph" w:customStyle="1" w:styleId="Default">
    <w:name w:val="Default"/>
    <w:rsid w:val="00D852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D8521B"/>
    <w:pPr>
      <w:spacing w:after="0" w:line="240" w:lineRule="auto"/>
      <w:ind w:left="425"/>
      <w:jc w:val="both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D852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521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B0BE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7B41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textovodkaz">
    <w:name w:val="Hyperlink"/>
    <w:basedOn w:val="Standardnpsmoodstavce"/>
    <w:uiPriority w:val="99"/>
    <w:rsid w:val="00511639"/>
    <w:rPr>
      <w:rFonts w:cs="Times New Roman"/>
      <w:color w:val="0000FF"/>
      <w:u w:val="single"/>
    </w:rPr>
  </w:style>
  <w:style w:type="paragraph" w:customStyle="1" w:styleId="Text4">
    <w:name w:val="Text 4"/>
    <w:basedOn w:val="Normln"/>
    <w:rsid w:val="00CE113C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ps">
    <w:name w:val="hps"/>
    <w:basedOn w:val="Standardnpsmoodstavce"/>
    <w:rsid w:val="00AB2699"/>
  </w:style>
  <w:style w:type="paragraph" w:styleId="Textbubliny">
    <w:name w:val="Balloon Text"/>
    <w:basedOn w:val="Normln"/>
    <w:link w:val="TextbublinyChar"/>
    <w:uiPriority w:val="99"/>
    <w:semiHidden/>
    <w:unhideWhenUsed/>
    <w:rsid w:val="006F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5F3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C1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1BD2"/>
  </w:style>
  <w:style w:type="paragraph" w:styleId="Zpat">
    <w:name w:val="footer"/>
    <w:basedOn w:val="Normln"/>
    <w:link w:val="ZpatChar"/>
    <w:uiPriority w:val="99"/>
    <w:unhideWhenUsed/>
    <w:rsid w:val="004C1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1BD2"/>
  </w:style>
  <w:style w:type="paragraph" w:styleId="Normlnweb">
    <w:name w:val="Normal (Web)"/>
    <w:basedOn w:val="Normln"/>
    <w:uiPriority w:val="99"/>
    <w:semiHidden/>
    <w:unhideWhenUsed/>
    <w:rsid w:val="0000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06B66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956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56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56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6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6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6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odok.cz/djv-agenda?date=2015-02-9" TargetMode="External"/><Relationship Id="rId13" Type="http://schemas.openxmlformats.org/officeDocument/2006/relationships/hyperlink" Target="http://www.mzp.cz/cz/plany_narodnich_casti_mezinarodnich_povodi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agri.cz/public/web/file/32725/PHP_anglicky_web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koo.pl/show.php?fid=2808&amp;lang=C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ds.chmi.cz" TargetMode="External"/><Relationship Id="rId10" Type="http://schemas.openxmlformats.org/officeDocument/2006/relationships/hyperlink" Target="http://www.ikse-mkol.org/index.php?id=513&amp;L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pdr.org/participate/danube_river_basin_management_plan" TargetMode="External"/><Relationship Id="rId14" Type="http://schemas.openxmlformats.org/officeDocument/2006/relationships/hyperlink" Target="http://www.mzp.cz/cz/plany_oblasti_povodi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2640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Kristýna Bláhová</cp:lastModifiedBy>
  <cp:revision>49</cp:revision>
  <cp:lastPrinted>2014-11-23T17:08:00Z</cp:lastPrinted>
  <dcterms:created xsi:type="dcterms:W3CDTF">2015-03-24T10:21:00Z</dcterms:created>
  <dcterms:modified xsi:type="dcterms:W3CDTF">2015-04-23T14:27:00Z</dcterms:modified>
</cp:coreProperties>
</file>